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B9937" w14:textId="77777777" w:rsidR="00FE5A94" w:rsidRDefault="00FE5A94" w:rsidP="00FA08B0">
      <w:pPr>
        <w:pStyle w:val="Heading1"/>
        <w:rPr>
          <w:lang w:val="en-US"/>
        </w:rPr>
      </w:pPr>
    </w:p>
    <w:p w14:paraId="40674C97" w14:textId="0C4ED070" w:rsidR="006E6C2D" w:rsidRPr="00FA08B0" w:rsidRDefault="00FA08B0" w:rsidP="00FA08B0">
      <w:pPr>
        <w:pStyle w:val="Heading1"/>
        <w:rPr>
          <w:lang w:val="en-US"/>
        </w:rPr>
      </w:pPr>
      <w:r>
        <w:rPr>
          <w:lang w:val="en-US"/>
        </w:rPr>
        <w:t>Supplementary Material 1</w:t>
      </w:r>
    </w:p>
    <w:p w14:paraId="0AE6D764" w14:textId="37BD5E7E" w:rsidR="00FE5A94" w:rsidRPr="00420B06" w:rsidRDefault="00FE5A94" w:rsidP="00420B06">
      <w:pPr>
        <w:rPr>
          <w:rFonts w:ascii="CMU Sans Serif" w:hAnsi="CMU Sans Serif"/>
          <w:color w:val="000000" w:themeColor="text1"/>
          <w:shd w:val="clear" w:color="auto" w:fill="FFFFFF"/>
          <w:lang w:val="en-US"/>
        </w:rPr>
      </w:pPr>
      <w:r w:rsidRPr="00FE5A94">
        <w:rPr>
          <w:rFonts w:ascii="CMU Sans Serif" w:hAnsi="CMU Sans Serif" w:cs="Arial"/>
          <w:b/>
          <w:bCs/>
          <w:color w:val="000000" w:themeColor="text1"/>
          <w:kern w:val="2"/>
          <w:lang w:val="en-US"/>
          <w14:ligatures w14:val="standardContextual"/>
        </w:rPr>
        <w:t>This supplementary material accompanies the article:</w:t>
      </w:r>
      <w:r w:rsidRPr="00FE5A94">
        <w:rPr>
          <w:rFonts w:ascii="CMU Sans Serif" w:hAnsi="CMU Sans Serif" w:cs="Arial"/>
          <w:b/>
          <w:bCs/>
          <w:color w:val="000000" w:themeColor="text1"/>
          <w:kern w:val="2"/>
          <w:lang w:val="en-US"/>
          <w14:ligatures w14:val="standardContextual"/>
        </w:rPr>
        <w:br/>
      </w:r>
      <w:r w:rsidRPr="00FE5A94">
        <w:rPr>
          <w:rFonts w:ascii="CMU Sans Serif" w:hAnsi="CMU Sans Serif"/>
          <w:color w:val="000000" w:themeColor="text1"/>
          <w:shd w:val="clear" w:color="auto" w:fill="FFFFFF"/>
        </w:rPr>
        <w:t xml:space="preserve">Benet, D., </w:t>
      </w:r>
      <w:proofErr w:type="spellStart"/>
      <w:r w:rsidRPr="00FE5A94">
        <w:rPr>
          <w:rFonts w:ascii="CMU Sans Serif" w:hAnsi="CMU Sans Serif"/>
          <w:color w:val="000000" w:themeColor="text1"/>
          <w:shd w:val="clear" w:color="auto" w:fill="FFFFFF"/>
        </w:rPr>
        <w:t>Migadel</w:t>
      </w:r>
      <w:proofErr w:type="spellEnd"/>
      <w:r w:rsidRPr="00FE5A94">
        <w:rPr>
          <w:rFonts w:ascii="CMU Sans Serif" w:hAnsi="CMU Sans Serif"/>
          <w:color w:val="000000" w:themeColor="text1"/>
          <w:shd w:val="clear" w:color="auto" w:fill="FFFFFF"/>
        </w:rPr>
        <w:t>, K. and Costa, F. (2026) “</w:t>
      </w:r>
      <w:proofErr w:type="spellStart"/>
      <w:r w:rsidR="00420B06" w:rsidRPr="00420B06">
        <w:rPr>
          <w:rFonts w:ascii="CMU Sans Serif" w:hAnsi="CMU Sans Serif"/>
          <w:color w:val="000000" w:themeColor="text1"/>
          <w:shd w:val="clear" w:color="auto" w:fill="FFFFFF"/>
          <w:lang w:val="en-US"/>
        </w:rPr>
        <w:t>VolcAshDB</w:t>
      </w:r>
      <w:proofErr w:type="spellEnd"/>
      <w:r w:rsidR="00420B06" w:rsidRPr="00420B06">
        <w:rPr>
          <w:rFonts w:ascii="CMU Sans Serif" w:hAnsi="CMU Sans Serif"/>
          <w:color w:val="000000" w:themeColor="text1"/>
          <w:shd w:val="clear" w:color="auto" w:fill="FFFFFF"/>
          <w:lang w:val="en-US"/>
        </w:rPr>
        <w:t xml:space="preserve"> open services for visualization and Machine Learning–driven</w:t>
      </w:r>
      <w:r w:rsidR="00420B06">
        <w:rPr>
          <w:rFonts w:ascii="CMU Sans Serif" w:hAnsi="CMU Sans Serif"/>
          <w:color w:val="000000" w:themeColor="text1"/>
          <w:shd w:val="clear" w:color="auto" w:fill="FFFFFF"/>
          <w:lang w:val="en-US"/>
        </w:rPr>
        <w:t xml:space="preserve"> </w:t>
      </w:r>
      <w:r w:rsidR="00420B06" w:rsidRPr="00420B06">
        <w:rPr>
          <w:rFonts w:ascii="CMU Sans Serif" w:hAnsi="CMU Sans Serif"/>
          <w:color w:val="000000" w:themeColor="text1"/>
          <w:shd w:val="clear" w:color="auto" w:fill="FFFFFF"/>
          <w:lang w:val="en-US"/>
        </w:rPr>
        <w:t>classification of volcanic ash particles</w:t>
      </w:r>
      <w:r w:rsidRPr="00FE5A94">
        <w:rPr>
          <w:rFonts w:ascii="CMU Sans Serif" w:hAnsi="CMU Sans Serif"/>
          <w:color w:val="000000" w:themeColor="text1"/>
          <w:shd w:val="clear" w:color="auto" w:fill="FFFFFF"/>
        </w:rPr>
        <w:t>”,</w:t>
      </w:r>
      <w:r w:rsidRPr="00FE5A94">
        <w:rPr>
          <w:rStyle w:val="apple-converted-space"/>
          <w:rFonts w:ascii="CMU Sans Serif" w:hAnsi="CMU Sans Serif"/>
          <w:color w:val="000000" w:themeColor="text1"/>
          <w:shd w:val="clear" w:color="auto" w:fill="FFFFFF"/>
        </w:rPr>
        <w:t> </w:t>
      </w:r>
      <w:r w:rsidRPr="00FE5A94">
        <w:rPr>
          <w:rFonts w:ascii="CMU Sans Serif" w:hAnsi="CMU Sans Serif"/>
          <w:i/>
          <w:iCs/>
          <w:color w:val="000000" w:themeColor="text1"/>
        </w:rPr>
        <w:t>Volcanica</w:t>
      </w:r>
      <w:r w:rsidRPr="00FE5A94">
        <w:rPr>
          <w:rFonts w:ascii="CMU Sans Serif" w:hAnsi="CMU Sans Serif"/>
          <w:color w:val="000000" w:themeColor="text1"/>
          <w:shd w:val="clear" w:color="auto" w:fill="FFFFFF"/>
        </w:rPr>
        <w:t xml:space="preserve">, 9(2), pp. 597–611. </w:t>
      </w:r>
      <w:proofErr w:type="spellStart"/>
      <w:r w:rsidRPr="00FE5A94">
        <w:rPr>
          <w:rFonts w:ascii="CMU Sans Serif" w:hAnsi="CMU Sans Serif"/>
          <w:color w:val="000000" w:themeColor="text1"/>
          <w:shd w:val="clear" w:color="auto" w:fill="FFFFFF"/>
        </w:rPr>
        <w:t>doi</w:t>
      </w:r>
      <w:proofErr w:type="spellEnd"/>
      <w:r w:rsidRPr="00FE5A94">
        <w:rPr>
          <w:rFonts w:ascii="CMU Sans Serif" w:hAnsi="CMU Sans Serif"/>
          <w:color w:val="000000" w:themeColor="text1"/>
          <w:shd w:val="clear" w:color="auto" w:fill="FFFFFF"/>
        </w:rPr>
        <w:t>: 10.30909/vol/jvso2431.</w:t>
      </w:r>
      <w:r w:rsidRPr="00FE5A94">
        <w:rPr>
          <w:rFonts w:ascii="CMU Sans Serif" w:hAnsi="CMU Sans Serif"/>
          <w:color w:val="000000" w:themeColor="text1"/>
          <w:shd w:val="clear" w:color="auto" w:fill="FFFFFF"/>
        </w:rPr>
        <w:br/>
      </w:r>
      <w:r w:rsidRPr="00FE5A94">
        <w:rPr>
          <w:rFonts w:ascii="CMU Sans Serif" w:hAnsi="CMU Sans Serif"/>
          <w:color w:val="000000" w:themeColor="text1"/>
          <w:shd w:val="clear" w:color="auto" w:fill="FFFFFF"/>
        </w:rPr>
        <w:br/>
        <w:t xml:space="preserve">Benet et al., [2026] should be cited if this material is re-used. </w:t>
      </w:r>
    </w:p>
    <w:p w14:paraId="7F79B830" w14:textId="77777777" w:rsidR="00FE5A94" w:rsidRDefault="00FE5A94" w:rsidP="00F6501E">
      <w:pPr>
        <w:rPr>
          <w:rFonts w:ascii="Arial" w:hAnsi="Arial" w:cs="Arial"/>
          <w:b/>
          <w:bCs/>
          <w:color w:val="000000" w:themeColor="text1"/>
          <w:kern w:val="2"/>
          <w:lang w:val="en-US"/>
          <w14:ligatures w14:val="standardContextual"/>
        </w:rPr>
      </w:pPr>
    </w:p>
    <w:p w14:paraId="55F2157F" w14:textId="30F38FF7" w:rsidR="00F6501E" w:rsidRPr="00F6501E" w:rsidRDefault="00F6501E" w:rsidP="00F6501E">
      <w:pPr>
        <w:rPr>
          <w:rFonts w:ascii="Arial" w:hAnsi="Arial" w:cs="Arial"/>
          <w:b/>
          <w:bCs/>
          <w:color w:val="000000" w:themeColor="text1"/>
          <w:kern w:val="2"/>
          <w:lang w:val="en-US"/>
          <w14:ligatures w14:val="standardContextual"/>
        </w:rPr>
      </w:pPr>
      <w:r>
        <w:rPr>
          <w:rFonts w:ascii="Arial" w:hAnsi="Arial" w:cs="Arial"/>
          <w:b/>
          <w:bCs/>
          <w:color w:val="000000" w:themeColor="text1"/>
          <w:kern w:val="2"/>
          <w:lang w:val="en-US"/>
          <w14:ligatures w14:val="standardContextual"/>
        </w:rPr>
        <w:t>T</w:t>
      </w:r>
      <w:r w:rsidRPr="00F6501E">
        <w:rPr>
          <w:rFonts w:ascii="Arial" w:hAnsi="Arial" w:cs="Arial"/>
          <w:b/>
          <w:bCs/>
          <w:color w:val="000000" w:themeColor="text1"/>
          <w:kern w:val="2"/>
          <w:lang w:val="en-US"/>
          <w14:ligatures w14:val="standardContextual"/>
        </w:rPr>
        <w:t>able of contents </w:t>
      </w:r>
    </w:p>
    <w:p w14:paraId="432F7E68" w14:textId="77777777" w:rsidR="00F6501E" w:rsidRDefault="00F6501E" w:rsidP="00FA6319">
      <w:pPr>
        <w:pStyle w:val="tablecaption"/>
        <w:rPr>
          <w:rFonts w:ascii="Arial" w:hAnsi="Arial" w:cs="Arial"/>
          <w:lang w:val="en-US"/>
        </w:rPr>
      </w:pPr>
      <w:r>
        <w:rPr>
          <w:rFonts w:ascii="Arial" w:hAnsi="Arial" w:cs="Arial"/>
          <w:lang w:val="en-US"/>
        </w:rPr>
        <w:t xml:space="preserve">This </w:t>
      </w:r>
      <w:r w:rsidR="006E6C2D">
        <w:rPr>
          <w:rFonts w:ascii="Arial" w:hAnsi="Arial" w:cs="Arial"/>
          <w:lang w:val="en-US"/>
        </w:rPr>
        <w:t>S</w:t>
      </w:r>
      <w:r>
        <w:rPr>
          <w:rFonts w:ascii="Arial" w:hAnsi="Arial" w:cs="Arial"/>
          <w:lang w:val="en-US"/>
        </w:rPr>
        <w:t>upplementary</w:t>
      </w:r>
      <w:r w:rsidR="006E6C2D">
        <w:rPr>
          <w:rFonts w:ascii="Arial" w:hAnsi="Arial" w:cs="Arial"/>
          <w:lang w:val="en-US"/>
        </w:rPr>
        <w:t xml:space="preserve"> 1</w:t>
      </w:r>
      <w:r>
        <w:rPr>
          <w:rFonts w:ascii="Arial" w:hAnsi="Arial" w:cs="Arial"/>
          <w:lang w:val="en-US"/>
        </w:rPr>
        <w:t xml:space="preserve"> file includes the definition of symbols (Table S1) used in the equations to calculate the</w:t>
      </w:r>
      <w:r w:rsidR="00B64B6D">
        <w:rPr>
          <w:rFonts w:ascii="Arial" w:hAnsi="Arial" w:cs="Arial"/>
          <w:lang w:val="en-US"/>
        </w:rPr>
        <w:t xml:space="preserve"> 33</w:t>
      </w:r>
      <w:r>
        <w:rPr>
          <w:rFonts w:ascii="Arial" w:hAnsi="Arial" w:cs="Arial"/>
          <w:lang w:val="en-US"/>
        </w:rPr>
        <w:t xml:space="preserve"> particle features (Table S2)</w:t>
      </w:r>
      <w:r w:rsidR="00B129F3">
        <w:rPr>
          <w:rFonts w:ascii="Arial" w:hAnsi="Arial" w:cs="Arial"/>
          <w:lang w:val="en-US"/>
        </w:rPr>
        <w:t>, and associated references.</w:t>
      </w:r>
    </w:p>
    <w:p w14:paraId="10112A62" w14:textId="77777777" w:rsidR="00FA6319" w:rsidRPr="004C28BD" w:rsidRDefault="00FA6319" w:rsidP="00FA6319">
      <w:pPr>
        <w:pStyle w:val="tablecaption"/>
        <w:rPr>
          <w:rFonts w:ascii="Arial" w:hAnsi="Arial" w:cs="Arial"/>
          <w:lang w:val="en-US"/>
        </w:rPr>
      </w:pPr>
      <w:r w:rsidRPr="004C28BD">
        <w:rPr>
          <w:rFonts w:ascii="Arial" w:hAnsi="Arial" w:cs="Arial"/>
          <w:lang w:val="en-US"/>
        </w:rPr>
        <w:t xml:space="preserve">Table </w:t>
      </w:r>
      <w:r w:rsidR="00CD1A33">
        <w:rPr>
          <w:rFonts w:ascii="Arial" w:hAnsi="Arial" w:cs="Arial"/>
          <w:lang w:val="en-US"/>
        </w:rPr>
        <w:t>S</w:t>
      </w:r>
      <w:r w:rsidRPr="004C28BD">
        <w:rPr>
          <w:rFonts w:ascii="Arial" w:hAnsi="Arial" w:cs="Arial"/>
          <w:lang w:val="en-US"/>
        </w:rPr>
        <w:t>1</w:t>
      </w:r>
    </w:p>
    <w:tbl>
      <w:tblPr>
        <w:tblStyle w:val="TableGrid"/>
        <w:tblW w:w="8883" w:type="dxa"/>
        <w:jc w:val="center"/>
        <w:tblBorders>
          <w:top w:val="none" w:sz="0" w:space="0" w:color="auto"/>
          <w:left w:val="none" w:sz="0" w:space="0" w:color="auto"/>
          <w:bottom w:val="none" w:sz="0" w:space="0" w:color="auto"/>
          <w:right w:val="none" w:sz="0" w:space="0" w:color="auto"/>
          <w:insideH w:val="single" w:sz="8" w:space="0" w:color="auto"/>
          <w:insideV w:val="none" w:sz="0" w:space="0" w:color="auto"/>
        </w:tblBorders>
        <w:tblLook w:val="04A0" w:firstRow="1" w:lastRow="0" w:firstColumn="1" w:lastColumn="0" w:noHBand="0" w:noVBand="1"/>
      </w:tblPr>
      <w:tblGrid>
        <w:gridCol w:w="1985"/>
        <w:gridCol w:w="4744"/>
        <w:gridCol w:w="2154"/>
      </w:tblGrid>
      <w:tr w:rsidR="00FA6319" w:rsidRPr="004C28BD" w14:paraId="3418BD07" w14:textId="77777777" w:rsidTr="00A74524">
        <w:trPr>
          <w:trHeight w:val="337"/>
          <w:jc w:val="center"/>
        </w:trPr>
        <w:tc>
          <w:tcPr>
            <w:tcW w:w="1985" w:type="dxa"/>
            <w:tcBorders>
              <w:top w:val="single" w:sz="4" w:space="0" w:color="auto"/>
              <w:bottom w:val="single" w:sz="4" w:space="0" w:color="auto"/>
            </w:tcBorders>
            <w:vAlign w:val="center"/>
          </w:tcPr>
          <w:p w14:paraId="7D93B9D4" w14:textId="77777777" w:rsidR="00FA6319" w:rsidRPr="004C28BD" w:rsidRDefault="00FA6319" w:rsidP="00A74524">
            <w:pPr>
              <w:jc w:val="center"/>
              <w:rPr>
                <w:rFonts w:ascii="Arial" w:eastAsiaTheme="minorHAnsi" w:hAnsi="Arial" w:cs="Arial"/>
                <w:b/>
                <w:bCs/>
                <w:sz w:val="24"/>
                <w:szCs w:val="24"/>
                <w:lang w:val="en-US" w:eastAsia="en-US"/>
              </w:rPr>
            </w:pPr>
            <w:r w:rsidRPr="004C28BD">
              <w:rPr>
                <w:rFonts w:ascii="Arial" w:eastAsiaTheme="minorHAnsi" w:hAnsi="Arial" w:cs="Arial"/>
                <w:b/>
                <w:bCs/>
                <w:sz w:val="24"/>
                <w:szCs w:val="24"/>
                <w:lang w:val="en-US" w:eastAsia="en-US"/>
              </w:rPr>
              <w:t>Symbol</w:t>
            </w:r>
          </w:p>
        </w:tc>
        <w:tc>
          <w:tcPr>
            <w:tcW w:w="4744" w:type="dxa"/>
            <w:tcBorders>
              <w:top w:val="single" w:sz="4" w:space="0" w:color="auto"/>
              <w:bottom w:val="single" w:sz="4" w:space="0" w:color="auto"/>
            </w:tcBorders>
            <w:vAlign w:val="center"/>
          </w:tcPr>
          <w:p w14:paraId="274CFE1E" w14:textId="77777777" w:rsidR="00FA6319" w:rsidRPr="004C28BD" w:rsidRDefault="00FA6319" w:rsidP="00A74524">
            <w:pPr>
              <w:jc w:val="center"/>
              <w:rPr>
                <w:rFonts w:ascii="Arial" w:eastAsiaTheme="minorHAnsi" w:hAnsi="Arial" w:cs="Arial"/>
                <w:b/>
                <w:bCs/>
                <w:sz w:val="24"/>
                <w:szCs w:val="24"/>
                <w:lang w:val="en-US" w:eastAsia="en-US"/>
              </w:rPr>
            </w:pPr>
            <w:r w:rsidRPr="004C28BD">
              <w:rPr>
                <w:rFonts w:ascii="Arial" w:eastAsiaTheme="minorHAnsi" w:hAnsi="Arial" w:cs="Arial"/>
                <w:b/>
                <w:bCs/>
                <w:sz w:val="24"/>
                <w:szCs w:val="24"/>
                <w:lang w:val="en-US" w:eastAsia="en-US"/>
              </w:rPr>
              <w:t>Definition</w:t>
            </w:r>
          </w:p>
        </w:tc>
        <w:tc>
          <w:tcPr>
            <w:tcW w:w="2154" w:type="dxa"/>
            <w:tcBorders>
              <w:top w:val="single" w:sz="4" w:space="0" w:color="auto"/>
              <w:bottom w:val="single" w:sz="4" w:space="0" w:color="auto"/>
            </w:tcBorders>
            <w:vAlign w:val="center"/>
          </w:tcPr>
          <w:p w14:paraId="4FBD815D" w14:textId="77777777" w:rsidR="00FA6319" w:rsidRPr="004C28BD" w:rsidRDefault="00FA6319" w:rsidP="00A74524">
            <w:pPr>
              <w:jc w:val="center"/>
              <w:rPr>
                <w:rFonts w:ascii="Arial" w:eastAsiaTheme="minorHAnsi" w:hAnsi="Arial" w:cs="Arial"/>
                <w:b/>
                <w:bCs/>
                <w:sz w:val="24"/>
                <w:szCs w:val="24"/>
                <w:lang w:val="en-US" w:eastAsia="en-US"/>
              </w:rPr>
            </w:pPr>
            <w:r w:rsidRPr="004C28BD">
              <w:rPr>
                <w:rFonts w:ascii="Arial" w:eastAsiaTheme="minorHAnsi" w:hAnsi="Arial" w:cs="Arial"/>
                <w:b/>
                <w:bCs/>
                <w:sz w:val="24"/>
                <w:szCs w:val="24"/>
                <w:lang w:val="en-US" w:eastAsia="en-US"/>
              </w:rPr>
              <w:t>Reference</w:t>
            </w:r>
          </w:p>
        </w:tc>
      </w:tr>
      <w:tr w:rsidR="00FA6319" w:rsidRPr="004C28BD" w14:paraId="755A42A6" w14:textId="77777777" w:rsidTr="00A74524">
        <w:trPr>
          <w:trHeight w:val="337"/>
          <w:jc w:val="center"/>
        </w:trPr>
        <w:tc>
          <w:tcPr>
            <w:tcW w:w="1985" w:type="dxa"/>
            <w:tcBorders>
              <w:top w:val="single" w:sz="4" w:space="0" w:color="auto"/>
              <w:bottom w:val="nil"/>
            </w:tcBorders>
            <w:vAlign w:val="center"/>
          </w:tcPr>
          <w:p w14:paraId="34189321"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eastAsiaTheme="minorHAnsi" w:hAnsi="Arial" w:cs="Arial"/>
                <w:sz w:val="24"/>
                <w:szCs w:val="24"/>
                <w:lang w:val="en-US" w:eastAsia="en-US"/>
              </w:rPr>
              <w:t>Shape</w:t>
            </w:r>
          </w:p>
        </w:tc>
        <w:tc>
          <w:tcPr>
            <w:tcW w:w="4744" w:type="dxa"/>
            <w:tcBorders>
              <w:top w:val="single" w:sz="4" w:space="0" w:color="auto"/>
              <w:bottom w:val="nil"/>
            </w:tcBorders>
            <w:vAlign w:val="center"/>
          </w:tcPr>
          <w:p w14:paraId="2DD12DCF" w14:textId="77777777" w:rsidR="00FA6319" w:rsidRPr="004C28BD" w:rsidRDefault="00FA6319" w:rsidP="00A74524">
            <w:pPr>
              <w:jc w:val="center"/>
              <w:rPr>
                <w:rFonts w:ascii="Arial" w:eastAsiaTheme="minorHAnsi" w:hAnsi="Arial" w:cs="Arial"/>
                <w:sz w:val="24"/>
                <w:szCs w:val="24"/>
                <w:lang w:val="en-US" w:eastAsia="en-US"/>
              </w:rPr>
            </w:pPr>
          </w:p>
        </w:tc>
        <w:tc>
          <w:tcPr>
            <w:tcW w:w="2154" w:type="dxa"/>
            <w:tcBorders>
              <w:top w:val="single" w:sz="4" w:space="0" w:color="auto"/>
              <w:bottom w:val="nil"/>
            </w:tcBorders>
            <w:vAlign w:val="center"/>
          </w:tcPr>
          <w:p w14:paraId="4CD7295A" w14:textId="77777777" w:rsidR="00FA6319" w:rsidRPr="004C28BD" w:rsidRDefault="00FA6319" w:rsidP="00A74524">
            <w:pPr>
              <w:jc w:val="center"/>
              <w:rPr>
                <w:rFonts w:ascii="Arial" w:eastAsiaTheme="minorHAnsi" w:hAnsi="Arial" w:cs="Arial"/>
                <w:sz w:val="24"/>
                <w:szCs w:val="24"/>
                <w:lang w:val="en-US" w:eastAsia="en-US"/>
              </w:rPr>
            </w:pPr>
          </w:p>
        </w:tc>
      </w:tr>
      <w:tr w:rsidR="00FA6319" w:rsidRPr="004C28BD" w14:paraId="2E895E7E" w14:textId="77777777" w:rsidTr="00A74524">
        <w:trPr>
          <w:trHeight w:val="553"/>
          <w:jc w:val="center"/>
        </w:trPr>
        <w:tc>
          <w:tcPr>
            <w:tcW w:w="1985" w:type="dxa"/>
            <w:tcBorders>
              <w:top w:val="nil"/>
              <w:bottom w:val="nil"/>
            </w:tcBorders>
            <w:vAlign w:val="center"/>
          </w:tcPr>
          <w:p w14:paraId="22BBDC28" w14:textId="77777777" w:rsidR="00FA6319" w:rsidRPr="004C28BD" w:rsidRDefault="00000000" w:rsidP="00A74524">
            <w:pPr>
              <w:jc w:val="center"/>
              <w:rPr>
                <w:rFonts w:ascii="Arial" w:eastAsiaTheme="minorHAnsi" w:hAnsi="Arial" w:cs="Arial"/>
                <w:sz w:val="24"/>
                <w:szCs w:val="24"/>
                <w:lang w:val="en-US" w:eastAsia="en-US"/>
              </w:rPr>
            </w:pPr>
            <m:oMathPara>
              <m:oMath>
                <m:sSub>
                  <m:sSubPr>
                    <m:ctrlPr>
                      <w:rPr>
                        <w:rFonts w:ascii="Cambria Math" w:eastAsiaTheme="minorHAnsi" w:hAnsi="Cambria Math" w:cs="Arial"/>
                        <w:i/>
                        <w:sz w:val="24"/>
                        <w:szCs w:val="24"/>
                        <w:lang w:val="en-US" w:eastAsia="en-US"/>
                      </w:rPr>
                    </m:ctrlPr>
                  </m:sSubPr>
                  <m:e>
                    <m:r>
                      <w:rPr>
                        <w:rFonts w:ascii="Cambria Math" w:hAnsi="Cambria Math" w:cs="Arial"/>
                        <w:lang w:val="en-US"/>
                      </w:rPr>
                      <m:t>A</m:t>
                    </m:r>
                  </m:e>
                  <m:sub>
                    <m:r>
                      <w:rPr>
                        <w:rFonts w:ascii="Cambria Math" w:hAnsi="Cambria Math" w:cs="Arial"/>
                        <w:lang w:val="en-US"/>
                      </w:rPr>
                      <m:t>p</m:t>
                    </m:r>
                  </m:sub>
                </m:sSub>
              </m:oMath>
            </m:oMathPara>
          </w:p>
        </w:tc>
        <w:tc>
          <w:tcPr>
            <w:tcW w:w="4744" w:type="dxa"/>
            <w:tcBorders>
              <w:top w:val="nil"/>
              <w:bottom w:val="nil"/>
            </w:tcBorders>
            <w:vAlign w:val="center"/>
          </w:tcPr>
          <w:p w14:paraId="1BF9BC21"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eastAsiaTheme="minorHAnsi" w:hAnsi="Arial" w:cs="Arial"/>
                <w:sz w:val="24"/>
                <w:szCs w:val="24"/>
                <w:lang w:val="en-US" w:eastAsia="en-US"/>
              </w:rPr>
              <w:t>Area of the particle</w:t>
            </w:r>
          </w:p>
        </w:tc>
        <w:tc>
          <w:tcPr>
            <w:tcW w:w="2154" w:type="dxa"/>
            <w:tcBorders>
              <w:top w:val="nil"/>
              <w:bottom w:val="nil"/>
            </w:tcBorders>
            <w:vAlign w:val="center"/>
          </w:tcPr>
          <w:p w14:paraId="56B31069"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hAnsi="Arial" w:cs="Arial"/>
                <w:lang w:val="en-US"/>
              </w:rPr>
              <w:t>1</w:t>
            </w:r>
          </w:p>
        </w:tc>
      </w:tr>
      <w:tr w:rsidR="00FA6319" w:rsidRPr="004C28BD" w14:paraId="5ECA4CA8" w14:textId="77777777" w:rsidTr="00A74524">
        <w:trPr>
          <w:trHeight w:val="553"/>
          <w:jc w:val="center"/>
        </w:trPr>
        <w:tc>
          <w:tcPr>
            <w:tcW w:w="1985" w:type="dxa"/>
            <w:tcBorders>
              <w:top w:val="nil"/>
              <w:bottom w:val="nil"/>
            </w:tcBorders>
            <w:vAlign w:val="center"/>
          </w:tcPr>
          <w:p w14:paraId="66FAD326" w14:textId="77777777" w:rsidR="00FA6319" w:rsidRPr="004C28BD" w:rsidRDefault="00000000" w:rsidP="00A74524">
            <w:pPr>
              <w:jc w:val="center"/>
              <w:rPr>
                <w:rFonts w:ascii="Arial" w:eastAsiaTheme="minorHAnsi" w:hAnsi="Arial" w:cs="Arial"/>
                <w:sz w:val="24"/>
                <w:szCs w:val="24"/>
                <w:lang w:val="en-US" w:eastAsia="en-US"/>
              </w:rPr>
            </w:pPr>
            <m:oMathPara>
              <m:oMath>
                <m:sSub>
                  <m:sSubPr>
                    <m:ctrlPr>
                      <w:rPr>
                        <w:rFonts w:ascii="Cambria Math" w:eastAsiaTheme="minorHAnsi" w:hAnsi="Cambria Math" w:cs="Arial"/>
                        <w:i/>
                        <w:sz w:val="24"/>
                        <w:szCs w:val="24"/>
                        <w:lang w:val="en-US" w:eastAsia="en-US"/>
                      </w:rPr>
                    </m:ctrlPr>
                  </m:sSubPr>
                  <m:e>
                    <m:r>
                      <w:rPr>
                        <w:rFonts w:ascii="Cambria Math" w:hAnsi="Cambria Math" w:cs="Arial"/>
                        <w:lang w:val="en-US"/>
                      </w:rPr>
                      <m:t>A</m:t>
                    </m:r>
                  </m:e>
                  <m:sub>
                    <m:r>
                      <w:rPr>
                        <w:rFonts w:ascii="Cambria Math" w:hAnsi="Cambria Math" w:cs="Arial"/>
                        <w:lang w:val="en-US"/>
                      </w:rPr>
                      <m:t>h</m:t>
                    </m:r>
                  </m:sub>
                </m:sSub>
              </m:oMath>
            </m:oMathPara>
          </w:p>
        </w:tc>
        <w:tc>
          <w:tcPr>
            <w:tcW w:w="4744" w:type="dxa"/>
            <w:tcBorders>
              <w:top w:val="nil"/>
              <w:bottom w:val="nil"/>
            </w:tcBorders>
            <w:vAlign w:val="center"/>
          </w:tcPr>
          <w:p w14:paraId="3F834EAB"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eastAsiaTheme="minorHAnsi" w:hAnsi="Arial" w:cs="Arial"/>
                <w:sz w:val="24"/>
                <w:szCs w:val="24"/>
                <w:lang w:val="en-US" w:eastAsia="en-US"/>
              </w:rPr>
              <w:t>Area of the convex hull</w:t>
            </w:r>
          </w:p>
          <w:p w14:paraId="2B6DC53F" w14:textId="77777777" w:rsidR="00FA6319" w:rsidRPr="004C28BD" w:rsidRDefault="00FA6319" w:rsidP="00A74524">
            <w:pPr>
              <w:jc w:val="center"/>
              <w:rPr>
                <w:rFonts w:ascii="Arial" w:eastAsiaTheme="minorHAnsi" w:hAnsi="Arial" w:cs="Arial"/>
                <w:sz w:val="24"/>
                <w:szCs w:val="24"/>
                <w:lang w:val="en-US" w:eastAsia="en-US"/>
              </w:rPr>
            </w:pPr>
          </w:p>
        </w:tc>
        <w:tc>
          <w:tcPr>
            <w:tcW w:w="2154" w:type="dxa"/>
            <w:tcBorders>
              <w:top w:val="nil"/>
              <w:bottom w:val="nil"/>
            </w:tcBorders>
            <w:vAlign w:val="center"/>
          </w:tcPr>
          <w:p w14:paraId="2D34D489"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hAnsi="Arial" w:cs="Arial"/>
                <w:lang w:val="en-US"/>
              </w:rPr>
              <w:t>1</w:t>
            </w:r>
          </w:p>
        </w:tc>
      </w:tr>
      <w:tr w:rsidR="00FA6319" w:rsidRPr="004C28BD" w14:paraId="74BAE12E" w14:textId="77777777" w:rsidTr="00A74524">
        <w:trPr>
          <w:trHeight w:val="553"/>
          <w:jc w:val="center"/>
        </w:trPr>
        <w:tc>
          <w:tcPr>
            <w:tcW w:w="1985" w:type="dxa"/>
            <w:tcBorders>
              <w:top w:val="nil"/>
              <w:bottom w:val="nil"/>
            </w:tcBorders>
            <w:vAlign w:val="center"/>
          </w:tcPr>
          <w:p w14:paraId="11EBAE6A" w14:textId="77777777" w:rsidR="00FA6319" w:rsidRPr="004C28BD" w:rsidRDefault="00000000" w:rsidP="00A74524">
            <w:pPr>
              <w:jc w:val="center"/>
              <w:rPr>
                <w:rFonts w:ascii="Arial" w:hAnsi="Arial" w:cs="Arial"/>
                <w:lang w:val="en-US"/>
              </w:rPr>
            </w:pPr>
            <m:oMathPara>
              <m:oMath>
                <m:sSub>
                  <m:sSubPr>
                    <m:ctrlPr>
                      <w:rPr>
                        <w:rFonts w:ascii="Cambria Math" w:eastAsiaTheme="minorHAnsi" w:hAnsi="Cambria Math" w:cs="Arial"/>
                        <w:i/>
                        <w:sz w:val="24"/>
                        <w:szCs w:val="24"/>
                        <w:lang w:val="en-US" w:eastAsia="en-US"/>
                      </w:rPr>
                    </m:ctrlPr>
                  </m:sSubPr>
                  <m:e>
                    <m:r>
                      <w:rPr>
                        <w:rFonts w:ascii="Cambria Math" w:hAnsi="Cambria Math" w:cs="Arial"/>
                        <w:lang w:val="en-US"/>
                      </w:rPr>
                      <m:t>P</m:t>
                    </m:r>
                  </m:e>
                  <m:sub>
                    <m:r>
                      <w:rPr>
                        <w:rFonts w:ascii="Cambria Math" w:hAnsi="Cambria Math" w:cs="Arial"/>
                        <w:lang w:val="en-US"/>
                      </w:rPr>
                      <m:t>p</m:t>
                    </m:r>
                  </m:sub>
                </m:sSub>
              </m:oMath>
            </m:oMathPara>
          </w:p>
        </w:tc>
        <w:tc>
          <w:tcPr>
            <w:tcW w:w="4744" w:type="dxa"/>
            <w:tcBorders>
              <w:top w:val="nil"/>
              <w:bottom w:val="nil"/>
            </w:tcBorders>
            <w:vAlign w:val="center"/>
          </w:tcPr>
          <w:p w14:paraId="198EC2C5" w14:textId="77777777" w:rsidR="00FA6319" w:rsidRPr="004C28BD" w:rsidRDefault="00FA6319" w:rsidP="00A74524">
            <w:pPr>
              <w:jc w:val="center"/>
              <w:rPr>
                <w:rFonts w:ascii="Arial" w:hAnsi="Arial" w:cs="Arial"/>
                <w:lang w:val="en-US"/>
              </w:rPr>
            </w:pPr>
            <w:r w:rsidRPr="004C28BD">
              <w:rPr>
                <w:rFonts w:ascii="Arial" w:eastAsiaTheme="minorHAnsi" w:hAnsi="Arial" w:cs="Arial"/>
                <w:sz w:val="24"/>
                <w:szCs w:val="24"/>
                <w:lang w:val="en-US" w:eastAsia="en-US"/>
              </w:rPr>
              <w:t>Perimeter of the particle</w:t>
            </w:r>
          </w:p>
        </w:tc>
        <w:tc>
          <w:tcPr>
            <w:tcW w:w="2154" w:type="dxa"/>
            <w:tcBorders>
              <w:top w:val="nil"/>
              <w:bottom w:val="nil"/>
            </w:tcBorders>
            <w:vAlign w:val="center"/>
          </w:tcPr>
          <w:p w14:paraId="14D2C421" w14:textId="77777777" w:rsidR="00FA6319" w:rsidRPr="004C28BD" w:rsidRDefault="00FA6319" w:rsidP="00A74524">
            <w:pPr>
              <w:jc w:val="center"/>
              <w:rPr>
                <w:rFonts w:ascii="Arial" w:hAnsi="Arial" w:cs="Arial"/>
                <w:lang w:val="en-US"/>
              </w:rPr>
            </w:pPr>
            <w:r w:rsidRPr="004C28BD">
              <w:rPr>
                <w:rFonts w:ascii="Arial" w:hAnsi="Arial" w:cs="Arial"/>
                <w:lang w:val="en-US"/>
              </w:rPr>
              <w:t>1</w:t>
            </w:r>
          </w:p>
        </w:tc>
      </w:tr>
      <w:tr w:rsidR="00FA6319" w:rsidRPr="004C28BD" w14:paraId="45BBCABF" w14:textId="77777777" w:rsidTr="00A74524">
        <w:trPr>
          <w:trHeight w:val="553"/>
          <w:jc w:val="center"/>
        </w:trPr>
        <w:tc>
          <w:tcPr>
            <w:tcW w:w="1985" w:type="dxa"/>
            <w:tcBorders>
              <w:top w:val="nil"/>
              <w:bottom w:val="nil"/>
            </w:tcBorders>
            <w:vAlign w:val="center"/>
          </w:tcPr>
          <w:p w14:paraId="405D8E95" w14:textId="77777777" w:rsidR="00FA6319" w:rsidRPr="004C28BD" w:rsidRDefault="00000000" w:rsidP="00A74524">
            <w:pPr>
              <w:jc w:val="center"/>
              <w:rPr>
                <w:rFonts w:ascii="Arial" w:eastAsiaTheme="minorHAnsi" w:hAnsi="Arial" w:cs="Arial"/>
                <w:sz w:val="24"/>
                <w:szCs w:val="24"/>
                <w:lang w:val="en-US" w:eastAsia="en-US"/>
              </w:rPr>
            </w:pPr>
            <m:oMathPara>
              <m:oMath>
                <m:sSub>
                  <m:sSubPr>
                    <m:ctrlPr>
                      <w:rPr>
                        <w:rFonts w:ascii="Cambria Math" w:eastAsiaTheme="minorHAnsi" w:hAnsi="Cambria Math" w:cs="Arial"/>
                        <w:i/>
                        <w:sz w:val="24"/>
                        <w:szCs w:val="24"/>
                        <w:lang w:val="en-US" w:eastAsia="en-US"/>
                      </w:rPr>
                    </m:ctrlPr>
                  </m:sSubPr>
                  <m:e>
                    <m:r>
                      <w:rPr>
                        <w:rFonts w:ascii="Cambria Math" w:hAnsi="Cambria Math" w:cs="Arial"/>
                        <w:lang w:val="en-US"/>
                      </w:rPr>
                      <m:t>P</m:t>
                    </m:r>
                  </m:e>
                  <m:sub>
                    <m:r>
                      <w:rPr>
                        <w:rFonts w:ascii="Cambria Math" w:hAnsi="Cambria Math" w:cs="Arial"/>
                        <w:lang w:val="en-US"/>
                      </w:rPr>
                      <m:t>h</m:t>
                    </m:r>
                  </m:sub>
                </m:sSub>
              </m:oMath>
            </m:oMathPara>
          </w:p>
        </w:tc>
        <w:tc>
          <w:tcPr>
            <w:tcW w:w="4744" w:type="dxa"/>
            <w:tcBorders>
              <w:top w:val="nil"/>
              <w:bottom w:val="nil"/>
            </w:tcBorders>
            <w:vAlign w:val="center"/>
          </w:tcPr>
          <w:p w14:paraId="6033C11E"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eastAsiaTheme="minorHAnsi" w:hAnsi="Arial" w:cs="Arial"/>
                <w:sz w:val="24"/>
                <w:szCs w:val="24"/>
                <w:lang w:val="en-US" w:eastAsia="en-US"/>
              </w:rPr>
              <w:t>Perimeter of the convex hull</w:t>
            </w:r>
          </w:p>
        </w:tc>
        <w:tc>
          <w:tcPr>
            <w:tcW w:w="2154" w:type="dxa"/>
            <w:tcBorders>
              <w:top w:val="nil"/>
              <w:bottom w:val="nil"/>
            </w:tcBorders>
            <w:vAlign w:val="center"/>
          </w:tcPr>
          <w:p w14:paraId="3C8497AE"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hAnsi="Arial" w:cs="Arial"/>
                <w:lang w:val="en-US"/>
              </w:rPr>
              <w:t>1</w:t>
            </w:r>
          </w:p>
        </w:tc>
      </w:tr>
      <w:tr w:rsidR="00FA6319" w:rsidRPr="004C28BD" w14:paraId="4ADE2598" w14:textId="77777777" w:rsidTr="00A74524">
        <w:trPr>
          <w:trHeight w:val="553"/>
          <w:jc w:val="center"/>
        </w:trPr>
        <w:tc>
          <w:tcPr>
            <w:tcW w:w="1985" w:type="dxa"/>
            <w:tcBorders>
              <w:top w:val="nil"/>
              <w:bottom w:val="nil"/>
            </w:tcBorders>
            <w:vAlign w:val="center"/>
          </w:tcPr>
          <w:p w14:paraId="505DE7BD" w14:textId="77777777" w:rsidR="00FA6319" w:rsidRPr="004C28BD" w:rsidRDefault="00FA6319" w:rsidP="00A74524">
            <w:pPr>
              <w:jc w:val="center"/>
              <w:rPr>
                <w:rFonts w:ascii="Arial" w:eastAsiaTheme="minorHAnsi" w:hAnsi="Arial" w:cs="Arial"/>
                <w:sz w:val="24"/>
                <w:szCs w:val="24"/>
                <w:lang w:val="en-US" w:eastAsia="en-US"/>
              </w:rPr>
            </w:pPr>
            <m:oMathPara>
              <m:oMath>
                <m:r>
                  <w:rPr>
                    <w:rFonts w:ascii="Cambria Math" w:hAnsi="Cambria Math" w:cs="Arial"/>
                    <w:lang w:val="en-US"/>
                  </w:rPr>
                  <m:t>W</m:t>
                </m:r>
              </m:oMath>
            </m:oMathPara>
          </w:p>
        </w:tc>
        <w:tc>
          <w:tcPr>
            <w:tcW w:w="4744" w:type="dxa"/>
            <w:tcBorders>
              <w:top w:val="nil"/>
              <w:bottom w:val="nil"/>
            </w:tcBorders>
            <w:vAlign w:val="center"/>
          </w:tcPr>
          <w:p w14:paraId="3D901C25"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eastAsiaTheme="minorHAnsi" w:hAnsi="Arial" w:cs="Arial"/>
                <w:sz w:val="24"/>
                <w:szCs w:val="24"/>
                <w:lang w:val="en-US" w:eastAsia="en-US"/>
              </w:rPr>
              <w:t>Width of the bounding rectangle</w:t>
            </w:r>
          </w:p>
        </w:tc>
        <w:tc>
          <w:tcPr>
            <w:tcW w:w="2154" w:type="dxa"/>
            <w:tcBorders>
              <w:top w:val="nil"/>
              <w:bottom w:val="nil"/>
            </w:tcBorders>
            <w:vAlign w:val="center"/>
          </w:tcPr>
          <w:p w14:paraId="5C949327"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hAnsi="Arial" w:cs="Arial"/>
                <w:lang w:val="en-US"/>
              </w:rPr>
              <w:t>1</w:t>
            </w:r>
          </w:p>
        </w:tc>
      </w:tr>
      <w:tr w:rsidR="00FA6319" w:rsidRPr="004C28BD" w14:paraId="4683DD52" w14:textId="77777777" w:rsidTr="00A74524">
        <w:trPr>
          <w:trHeight w:val="553"/>
          <w:jc w:val="center"/>
        </w:trPr>
        <w:tc>
          <w:tcPr>
            <w:tcW w:w="1985" w:type="dxa"/>
            <w:tcBorders>
              <w:top w:val="nil"/>
              <w:bottom w:val="nil"/>
            </w:tcBorders>
            <w:vAlign w:val="center"/>
          </w:tcPr>
          <w:p w14:paraId="47551DAC" w14:textId="77777777" w:rsidR="00FA6319" w:rsidRPr="004C28BD" w:rsidRDefault="00FA6319" w:rsidP="00A74524">
            <w:pPr>
              <w:jc w:val="center"/>
              <w:rPr>
                <w:rFonts w:ascii="Arial" w:eastAsiaTheme="minorHAnsi" w:hAnsi="Arial" w:cs="Arial"/>
                <w:sz w:val="24"/>
                <w:szCs w:val="24"/>
                <w:lang w:val="en-US" w:eastAsia="en-US"/>
              </w:rPr>
            </w:pPr>
            <m:oMathPara>
              <m:oMath>
                <m:r>
                  <w:rPr>
                    <w:rFonts w:ascii="Cambria Math" w:hAnsi="Cambria Math" w:cs="Arial"/>
                    <w:lang w:val="en-US"/>
                  </w:rPr>
                  <m:t>H</m:t>
                </m:r>
              </m:oMath>
            </m:oMathPara>
          </w:p>
        </w:tc>
        <w:tc>
          <w:tcPr>
            <w:tcW w:w="4744" w:type="dxa"/>
            <w:tcBorders>
              <w:top w:val="nil"/>
              <w:bottom w:val="nil"/>
            </w:tcBorders>
            <w:vAlign w:val="center"/>
          </w:tcPr>
          <w:p w14:paraId="27602714"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eastAsiaTheme="minorHAnsi" w:hAnsi="Arial" w:cs="Arial"/>
                <w:sz w:val="24"/>
                <w:szCs w:val="24"/>
                <w:lang w:val="en-US" w:eastAsia="en-US"/>
              </w:rPr>
              <w:t>Height of the bounding rectangle</w:t>
            </w:r>
          </w:p>
        </w:tc>
        <w:tc>
          <w:tcPr>
            <w:tcW w:w="2154" w:type="dxa"/>
            <w:tcBorders>
              <w:top w:val="nil"/>
              <w:bottom w:val="nil"/>
            </w:tcBorders>
            <w:vAlign w:val="center"/>
          </w:tcPr>
          <w:p w14:paraId="2EC7EAB5"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hAnsi="Arial" w:cs="Arial"/>
                <w:lang w:val="en-US"/>
              </w:rPr>
              <w:t>1</w:t>
            </w:r>
          </w:p>
        </w:tc>
      </w:tr>
      <w:tr w:rsidR="00FA6319" w:rsidRPr="004C28BD" w14:paraId="557AFCB7" w14:textId="77777777" w:rsidTr="00A74524">
        <w:trPr>
          <w:trHeight w:val="1350"/>
          <w:jc w:val="center"/>
        </w:trPr>
        <w:tc>
          <w:tcPr>
            <w:tcW w:w="1985" w:type="dxa"/>
            <w:tcBorders>
              <w:top w:val="nil"/>
              <w:bottom w:val="nil"/>
            </w:tcBorders>
            <w:vAlign w:val="center"/>
          </w:tcPr>
          <w:p w14:paraId="4BCE7C23" w14:textId="77777777" w:rsidR="00FA6319" w:rsidRPr="004C28BD" w:rsidRDefault="00000000" w:rsidP="00A74524">
            <w:pPr>
              <w:jc w:val="center"/>
              <w:rPr>
                <w:rFonts w:ascii="Arial" w:eastAsiaTheme="minorHAnsi" w:hAnsi="Arial" w:cs="Arial"/>
                <w:sz w:val="24"/>
                <w:szCs w:val="24"/>
                <w:lang w:val="en-US" w:eastAsia="en-US"/>
              </w:rPr>
            </w:pPr>
            <m:oMathPara>
              <m:oMath>
                <m:sSub>
                  <m:sSubPr>
                    <m:ctrlPr>
                      <w:rPr>
                        <w:rFonts w:ascii="Cambria Math" w:eastAsiaTheme="minorHAnsi" w:hAnsi="Cambria Math" w:cs="Arial"/>
                        <w:i/>
                        <w:sz w:val="24"/>
                        <w:szCs w:val="24"/>
                        <w:lang w:val="en-US" w:eastAsia="en-US"/>
                      </w:rPr>
                    </m:ctrlPr>
                  </m:sSubPr>
                  <m:e>
                    <m:r>
                      <w:rPr>
                        <w:rFonts w:ascii="Cambria Math" w:hAnsi="Cambria Math" w:cs="Arial"/>
                        <w:lang w:val="en-US"/>
                      </w:rPr>
                      <m:t>D</m:t>
                    </m:r>
                  </m:e>
                  <m:sub>
                    <m:r>
                      <w:rPr>
                        <w:rFonts w:ascii="Cambria Math" w:hAnsi="Cambria Math" w:cs="Arial"/>
                        <w:lang w:val="en-US"/>
                      </w:rPr>
                      <m:t>MaxFeret</m:t>
                    </m:r>
                  </m:sub>
                </m:sSub>
              </m:oMath>
            </m:oMathPara>
          </w:p>
        </w:tc>
        <w:tc>
          <w:tcPr>
            <w:tcW w:w="4744" w:type="dxa"/>
            <w:tcBorders>
              <w:top w:val="nil"/>
              <w:bottom w:val="nil"/>
            </w:tcBorders>
            <w:vAlign w:val="center"/>
          </w:tcPr>
          <w:p w14:paraId="4B7D3364"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eastAsiaTheme="minorHAnsi" w:hAnsi="Arial" w:cs="Arial"/>
                <w:sz w:val="24"/>
                <w:szCs w:val="24"/>
                <w:lang w:val="en-US" w:eastAsia="en-US"/>
              </w:rPr>
              <w:t>Feret maximum diameter: the maximum distance between two parallel lines tangential to the particle outline</w:t>
            </w:r>
          </w:p>
        </w:tc>
        <w:tc>
          <w:tcPr>
            <w:tcW w:w="2154" w:type="dxa"/>
            <w:tcBorders>
              <w:top w:val="nil"/>
              <w:bottom w:val="nil"/>
            </w:tcBorders>
            <w:vAlign w:val="center"/>
          </w:tcPr>
          <w:p w14:paraId="1D2953A7"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hAnsi="Arial" w:cs="Arial"/>
                <w:lang w:val="en-US"/>
              </w:rPr>
              <w:t>1</w:t>
            </w:r>
          </w:p>
        </w:tc>
      </w:tr>
      <w:tr w:rsidR="00FA6319" w:rsidRPr="004C28BD" w14:paraId="109198B3" w14:textId="77777777" w:rsidTr="00A74524">
        <w:trPr>
          <w:trHeight w:val="553"/>
          <w:jc w:val="center"/>
        </w:trPr>
        <w:tc>
          <w:tcPr>
            <w:tcW w:w="1985" w:type="dxa"/>
            <w:tcBorders>
              <w:top w:val="nil"/>
              <w:bottom w:val="nil"/>
            </w:tcBorders>
            <w:vAlign w:val="center"/>
          </w:tcPr>
          <w:p w14:paraId="6A3DEA85" w14:textId="77777777" w:rsidR="00FA6319" w:rsidRPr="004C28BD" w:rsidRDefault="00000000" w:rsidP="00A74524">
            <w:pPr>
              <w:jc w:val="center"/>
              <w:rPr>
                <w:rFonts w:ascii="Arial" w:eastAsiaTheme="minorHAnsi" w:hAnsi="Arial" w:cs="Arial"/>
                <w:sz w:val="24"/>
                <w:szCs w:val="24"/>
                <w:lang w:val="en-US" w:eastAsia="en-US"/>
              </w:rPr>
            </w:pPr>
            <m:oMathPara>
              <m:oMath>
                <m:sSub>
                  <m:sSubPr>
                    <m:ctrlPr>
                      <w:rPr>
                        <w:rFonts w:ascii="Cambria Math" w:eastAsiaTheme="minorHAnsi" w:hAnsi="Cambria Math" w:cs="Arial"/>
                        <w:i/>
                        <w:sz w:val="24"/>
                        <w:szCs w:val="24"/>
                        <w:lang w:val="en-US" w:eastAsia="en-US"/>
                      </w:rPr>
                    </m:ctrlPr>
                  </m:sSubPr>
                  <m:e>
                    <m:r>
                      <w:rPr>
                        <w:rFonts w:ascii="Cambria Math" w:hAnsi="Cambria Math" w:cs="Arial"/>
                        <w:lang w:val="en-US"/>
                      </w:rPr>
                      <m:t>E</m:t>
                    </m:r>
                  </m:e>
                  <m:sub>
                    <m:r>
                      <w:rPr>
                        <w:rFonts w:ascii="Cambria Math" w:hAnsi="Cambria Math" w:cs="Arial"/>
                        <w:lang w:val="en-US"/>
                      </w:rPr>
                      <m:t>maj</m:t>
                    </m:r>
                  </m:sub>
                </m:sSub>
              </m:oMath>
            </m:oMathPara>
          </w:p>
        </w:tc>
        <w:tc>
          <w:tcPr>
            <w:tcW w:w="4744" w:type="dxa"/>
            <w:tcBorders>
              <w:top w:val="nil"/>
              <w:bottom w:val="nil"/>
            </w:tcBorders>
            <w:vAlign w:val="center"/>
          </w:tcPr>
          <w:p w14:paraId="645ADBB0"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eastAsiaTheme="minorHAnsi" w:hAnsi="Arial" w:cs="Arial"/>
                <w:sz w:val="24"/>
                <w:szCs w:val="24"/>
                <w:lang w:val="en-US" w:eastAsia="en-US"/>
              </w:rPr>
              <w:t>Major ellipse axis</w:t>
            </w:r>
          </w:p>
        </w:tc>
        <w:tc>
          <w:tcPr>
            <w:tcW w:w="2154" w:type="dxa"/>
            <w:tcBorders>
              <w:top w:val="nil"/>
              <w:bottom w:val="nil"/>
            </w:tcBorders>
            <w:vAlign w:val="center"/>
          </w:tcPr>
          <w:p w14:paraId="0CAAD3F2"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hAnsi="Arial" w:cs="Arial"/>
                <w:lang w:val="en-US"/>
              </w:rPr>
              <w:t>1</w:t>
            </w:r>
          </w:p>
        </w:tc>
      </w:tr>
      <w:tr w:rsidR="00FA6319" w:rsidRPr="004C28BD" w14:paraId="24B0EA4C" w14:textId="77777777" w:rsidTr="00A74524">
        <w:trPr>
          <w:trHeight w:val="337"/>
          <w:jc w:val="center"/>
        </w:trPr>
        <w:tc>
          <w:tcPr>
            <w:tcW w:w="1985" w:type="dxa"/>
            <w:tcBorders>
              <w:top w:val="nil"/>
              <w:bottom w:val="nil"/>
            </w:tcBorders>
            <w:vAlign w:val="center"/>
          </w:tcPr>
          <w:p w14:paraId="3C9BBDD4"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eastAsiaTheme="minorHAnsi" w:hAnsi="Arial" w:cs="Arial"/>
                <w:sz w:val="24"/>
                <w:szCs w:val="24"/>
                <w:lang w:val="en-US" w:eastAsia="en-US"/>
              </w:rPr>
              <w:t>Texture</w:t>
            </w:r>
          </w:p>
        </w:tc>
        <w:tc>
          <w:tcPr>
            <w:tcW w:w="4744" w:type="dxa"/>
            <w:tcBorders>
              <w:top w:val="nil"/>
              <w:bottom w:val="nil"/>
            </w:tcBorders>
            <w:vAlign w:val="center"/>
          </w:tcPr>
          <w:p w14:paraId="3DCE4DB3" w14:textId="77777777" w:rsidR="00FA6319" w:rsidRPr="004C28BD" w:rsidRDefault="00FA6319" w:rsidP="00A74524">
            <w:pPr>
              <w:jc w:val="center"/>
              <w:rPr>
                <w:rFonts w:ascii="Arial" w:eastAsiaTheme="minorHAnsi" w:hAnsi="Arial" w:cs="Arial"/>
                <w:sz w:val="24"/>
                <w:szCs w:val="24"/>
                <w:lang w:val="en-US" w:eastAsia="en-US"/>
              </w:rPr>
            </w:pPr>
          </w:p>
        </w:tc>
        <w:tc>
          <w:tcPr>
            <w:tcW w:w="2154" w:type="dxa"/>
            <w:tcBorders>
              <w:top w:val="nil"/>
              <w:bottom w:val="nil"/>
            </w:tcBorders>
            <w:vAlign w:val="center"/>
          </w:tcPr>
          <w:p w14:paraId="2E87A425" w14:textId="77777777" w:rsidR="00FA6319" w:rsidRPr="004C28BD" w:rsidRDefault="00FA6319" w:rsidP="00A74524">
            <w:pPr>
              <w:jc w:val="center"/>
              <w:rPr>
                <w:rFonts w:ascii="Arial" w:eastAsiaTheme="minorHAnsi" w:hAnsi="Arial" w:cs="Arial"/>
                <w:sz w:val="24"/>
                <w:szCs w:val="24"/>
                <w:lang w:val="en-US" w:eastAsia="en-US"/>
              </w:rPr>
            </w:pPr>
          </w:p>
        </w:tc>
      </w:tr>
      <w:tr w:rsidR="00FA6319" w:rsidRPr="004C28BD" w14:paraId="287388AF" w14:textId="77777777" w:rsidTr="00A74524">
        <w:trPr>
          <w:trHeight w:val="685"/>
          <w:jc w:val="center"/>
        </w:trPr>
        <w:tc>
          <w:tcPr>
            <w:tcW w:w="1985" w:type="dxa"/>
            <w:tcBorders>
              <w:top w:val="nil"/>
              <w:bottom w:val="nil"/>
            </w:tcBorders>
            <w:vAlign w:val="center"/>
          </w:tcPr>
          <w:p w14:paraId="32192AB2" w14:textId="77777777" w:rsidR="00FA6319" w:rsidRPr="004C28BD" w:rsidRDefault="00FA6319" w:rsidP="00A74524">
            <w:pPr>
              <w:jc w:val="center"/>
              <w:rPr>
                <w:rFonts w:ascii="Arial" w:eastAsiaTheme="minorHAnsi" w:hAnsi="Arial" w:cs="Arial"/>
                <w:i/>
                <w:iCs/>
                <w:sz w:val="24"/>
                <w:szCs w:val="24"/>
                <w:lang w:val="en-US" w:eastAsia="en-US"/>
              </w:rPr>
            </w:pPr>
            <w:r w:rsidRPr="004C28BD">
              <w:rPr>
                <w:rFonts w:ascii="Arial" w:eastAsiaTheme="minorHAnsi" w:hAnsi="Arial" w:cs="Arial"/>
                <w:i/>
                <w:iCs/>
                <w:sz w:val="24"/>
                <w:szCs w:val="24"/>
                <w:lang w:val="en-US" w:eastAsia="en-US"/>
              </w:rPr>
              <w:t>levels</w:t>
            </w:r>
          </w:p>
        </w:tc>
        <w:tc>
          <w:tcPr>
            <w:tcW w:w="4744" w:type="dxa"/>
            <w:tcBorders>
              <w:top w:val="nil"/>
              <w:bottom w:val="nil"/>
            </w:tcBorders>
            <w:vAlign w:val="center"/>
          </w:tcPr>
          <w:p w14:paraId="0A87B447"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eastAsiaTheme="minorHAnsi" w:hAnsi="Arial" w:cs="Arial"/>
                <w:sz w:val="24"/>
                <w:szCs w:val="24"/>
                <w:lang w:val="en-US" w:eastAsia="en-US"/>
              </w:rPr>
              <w:t>Pixel intensity values from the ROI used for GLCM</w:t>
            </w:r>
            <w:r w:rsidR="00B64B6D" w:rsidRPr="00B64B6D">
              <w:rPr>
                <w:rFonts w:ascii="Arial" w:eastAsiaTheme="minorHAnsi" w:hAnsi="Arial" w:cs="Arial"/>
                <w:sz w:val="24"/>
                <w:szCs w:val="24"/>
                <w:vertAlign w:val="superscript"/>
                <w:lang w:val="en-US" w:eastAsia="en-US"/>
              </w:rPr>
              <w:t>3</w:t>
            </w:r>
            <w:r w:rsidRPr="004C28BD">
              <w:rPr>
                <w:rFonts w:ascii="Arial" w:eastAsiaTheme="minorHAnsi" w:hAnsi="Arial" w:cs="Arial"/>
                <w:sz w:val="24"/>
                <w:szCs w:val="24"/>
                <w:lang w:val="en-US" w:eastAsia="en-US"/>
              </w:rPr>
              <w:t xml:space="preserve"> calculation</w:t>
            </w:r>
          </w:p>
        </w:tc>
        <w:tc>
          <w:tcPr>
            <w:tcW w:w="2154" w:type="dxa"/>
            <w:tcBorders>
              <w:top w:val="nil"/>
              <w:bottom w:val="nil"/>
            </w:tcBorders>
            <w:vAlign w:val="center"/>
          </w:tcPr>
          <w:p w14:paraId="131BB175"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hAnsi="Arial" w:cs="Arial"/>
                <w:lang w:val="en-US"/>
              </w:rPr>
              <w:t>2</w:t>
            </w:r>
          </w:p>
        </w:tc>
      </w:tr>
      <w:tr w:rsidR="00FA6319" w:rsidRPr="004C28BD" w14:paraId="2D23A303" w14:textId="77777777" w:rsidTr="00A74524">
        <w:trPr>
          <w:trHeight w:val="675"/>
          <w:jc w:val="center"/>
        </w:trPr>
        <w:tc>
          <w:tcPr>
            <w:tcW w:w="1985" w:type="dxa"/>
            <w:tcBorders>
              <w:top w:val="nil"/>
              <w:bottom w:val="nil"/>
            </w:tcBorders>
            <w:vAlign w:val="center"/>
          </w:tcPr>
          <w:p w14:paraId="734F575F" w14:textId="77777777" w:rsidR="00FA6319" w:rsidRPr="004C28BD" w:rsidRDefault="00FA6319" w:rsidP="00A74524">
            <w:pPr>
              <w:jc w:val="center"/>
              <w:rPr>
                <w:rFonts w:ascii="Arial" w:eastAsiaTheme="minorHAnsi" w:hAnsi="Arial" w:cs="Arial"/>
                <w:i/>
                <w:iCs/>
                <w:sz w:val="24"/>
                <w:szCs w:val="24"/>
                <w:lang w:val="en-US" w:eastAsia="en-US"/>
              </w:rPr>
            </w:pPr>
            <m:oMathPara>
              <m:oMath>
                <m:r>
                  <w:rPr>
                    <w:rFonts w:ascii="Cambria Math" w:hAnsi="Cambria Math" w:cs="Arial"/>
                    <w:lang w:val="en-US"/>
                  </w:rPr>
                  <m:t>i,j</m:t>
                </m:r>
              </m:oMath>
            </m:oMathPara>
          </w:p>
        </w:tc>
        <w:tc>
          <w:tcPr>
            <w:tcW w:w="4744" w:type="dxa"/>
            <w:tcBorders>
              <w:top w:val="nil"/>
              <w:bottom w:val="nil"/>
            </w:tcBorders>
            <w:vAlign w:val="center"/>
          </w:tcPr>
          <w:p w14:paraId="45D7C163"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eastAsiaTheme="minorHAnsi" w:hAnsi="Arial" w:cs="Arial"/>
                <w:sz w:val="24"/>
                <w:szCs w:val="24"/>
                <w:lang w:val="en-US" w:eastAsia="en-US"/>
              </w:rPr>
              <w:t>Origin pixel (</w:t>
            </w:r>
            <m:oMath>
              <m:r>
                <w:rPr>
                  <w:rFonts w:ascii="Cambria Math" w:hAnsi="Cambria Math" w:cs="Arial"/>
                  <w:lang w:val="en-US"/>
                </w:rPr>
                <m:t>i</m:t>
              </m:r>
            </m:oMath>
            <w:r w:rsidRPr="004C28BD">
              <w:rPr>
                <w:rFonts w:ascii="Arial" w:eastAsiaTheme="minorHAnsi" w:hAnsi="Arial" w:cs="Arial"/>
                <w:sz w:val="24"/>
                <w:szCs w:val="24"/>
                <w:lang w:val="en-US" w:eastAsia="en-US"/>
              </w:rPr>
              <w:t>) and target pixel (</w:t>
            </w:r>
            <m:oMath>
              <m:r>
                <w:rPr>
                  <w:rFonts w:ascii="Cambria Math" w:hAnsi="Cambria Math" w:cs="Arial"/>
                  <w:lang w:val="en-US"/>
                </w:rPr>
                <m:t>j</m:t>
              </m:r>
            </m:oMath>
            <w:r w:rsidRPr="004C28BD">
              <w:rPr>
                <w:rFonts w:ascii="Arial" w:eastAsiaTheme="minorHAnsi" w:hAnsi="Arial" w:cs="Arial"/>
                <w:sz w:val="24"/>
                <w:szCs w:val="24"/>
                <w:lang w:val="en-US" w:eastAsia="en-US"/>
              </w:rPr>
              <w:t>) for GLCM calculation</w:t>
            </w:r>
          </w:p>
        </w:tc>
        <w:tc>
          <w:tcPr>
            <w:tcW w:w="2154" w:type="dxa"/>
            <w:tcBorders>
              <w:top w:val="nil"/>
              <w:bottom w:val="nil"/>
            </w:tcBorders>
            <w:vAlign w:val="center"/>
          </w:tcPr>
          <w:p w14:paraId="0122BFC5"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hAnsi="Arial" w:cs="Arial"/>
                <w:lang w:val="en-US"/>
              </w:rPr>
              <w:t>2</w:t>
            </w:r>
          </w:p>
        </w:tc>
      </w:tr>
      <w:tr w:rsidR="00FA6319" w:rsidRPr="004C28BD" w14:paraId="64B46C46" w14:textId="77777777" w:rsidTr="00A74524">
        <w:trPr>
          <w:trHeight w:val="2026"/>
          <w:jc w:val="center"/>
        </w:trPr>
        <w:tc>
          <w:tcPr>
            <w:tcW w:w="1985" w:type="dxa"/>
            <w:tcBorders>
              <w:top w:val="nil"/>
              <w:bottom w:val="nil"/>
            </w:tcBorders>
            <w:vAlign w:val="center"/>
          </w:tcPr>
          <w:p w14:paraId="4B3177A4" w14:textId="77777777" w:rsidR="00FA6319" w:rsidRPr="004C28BD" w:rsidRDefault="00000000" w:rsidP="00A74524">
            <w:pPr>
              <w:jc w:val="center"/>
              <w:rPr>
                <w:rFonts w:ascii="Arial" w:eastAsiaTheme="minorHAnsi" w:hAnsi="Arial" w:cs="Arial"/>
                <w:i/>
                <w:sz w:val="24"/>
                <w:szCs w:val="24"/>
                <w:lang w:val="en-US" w:eastAsia="en-US"/>
              </w:rPr>
            </w:pPr>
            <m:oMathPara>
              <m:oMath>
                <m:sSubSup>
                  <m:sSubSupPr>
                    <m:ctrlPr>
                      <w:rPr>
                        <w:rFonts w:ascii="Cambria Math" w:eastAsiaTheme="minorHAnsi" w:hAnsi="Cambria Math" w:cs="Arial"/>
                        <w:i/>
                        <w:sz w:val="24"/>
                        <w:szCs w:val="24"/>
                        <w:lang w:val="en-US" w:eastAsia="en-US"/>
                      </w:rPr>
                    </m:ctrlPr>
                  </m:sSubSupPr>
                  <m:e>
                    <m:r>
                      <w:rPr>
                        <w:rFonts w:ascii="Cambria Math" w:hAnsi="Cambria Math" w:cs="Arial"/>
                        <w:lang w:val="en-US"/>
                      </w:rPr>
                      <m:t>P</m:t>
                    </m:r>
                  </m:e>
                  <m:sub>
                    <m:r>
                      <w:rPr>
                        <w:rFonts w:ascii="Cambria Math" w:hAnsi="Cambria Math" w:cs="Arial"/>
                        <w:lang w:val="en-US"/>
                      </w:rPr>
                      <m:t>d</m:t>
                    </m:r>
                  </m:sub>
                  <m:sup>
                    <m:r>
                      <w:rPr>
                        <w:rFonts w:ascii="Cambria Math" w:hAnsi="Cambria Math" w:cs="Arial"/>
                        <w:lang w:val="en-US"/>
                      </w:rPr>
                      <m:t>θ</m:t>
                    </m:r>
                  </m:sup>
                </m:sSubSup>
                <m:r>
                  <w:rPr>
                    <w:rFonts w:ascii="Cambria Math" w:hAnsi="Cambria Math" w:cs="Arial"/>
                    <w:lang w:val="en-US"/>
                  </w:rPr>
                  <m:t>(i,j)</m:t>
                </m:r>
              </m:oMath>
            </m:oMathPara>
          </w:p>
        </w:tc>
        <w:tc>
          <w:tcPr>
            <w:tcW w:w="4744" w:type="dxa"/>
            <w:tcBorders>
              <w:top w:val="nil"/>
              <w:bottom w:val="nil"/>
            </w:tcBorders>
            <w:vAlign w:val="center"/>
          </w:tcPr>
          <w:p w14:paraId="43C7B3D8"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eastAsiaTheme="minorHAnsi" w:hAnsi="Arial" w:cs="Arial"/>
                <w:sz w:val="24"/>
                <w:szCs w:val="24"/>
                <w:lang w:val="en-US" w:eastAsia="en-US"/>
              </w:rPr>
              <w:t xml:space="preserve">It is the </w:t>
            </w:r>
            <m:oMath>
              <m:sSup>
                <m:sSupPr>
                  <m:ctrlPr>
                    <w:rPr>
                      <w:rFonts w:ascii="Cambria Math" w:eastAsiaTheme="minorHAnsi" w:hAnsi="Cambria Math" w:cs="Arial"/>
                      <w:i/>
                      <w:sz w:val="24"/>
                      <w:szCs w:val="24"/>
                      <w:lang w:val="en-US" w:eastAsia="en-US"/>
                    </w:rPr>
                  </m:ctrlPr>
                </m:sSupPr>
                <m:e>
                  <m:r>
                    <w:rPr>
                      <w:rFonts w:ascii="Cambria Math" w:hAnsi="Cambria Math" w:cs="Arial"/>
                      <w:lang w:val="en-US"/>
                    </w:rPr>
                    <m:t>(i,j)</m:t>
                  </m:r>
                </m:e>
                <m:sup>
                  <m:r>
                    <w:rPr>
                      <w:rFonts w:ascii="Cambria Math" w:hAnsi="Cambria Math" w:cs="Arial"/>
                      <w:lang w:val="en-US"/>
                    </w:rPr>
                    <m:t>th</m:t>
                  </m:r>
                </m:sup>
              </m:sSup>
            </m:oMath>
            <w:r w:rsidRPr="004C28BD">
              <w:rPr>
                <w:rFonts w:ascii="Arial" w:eastAsiaTheme="minorHAnsi" w:hAnsi="Arial" w:cs="Arial"/>
                <w:sz w:val="24"/>
                <w:szCs w:val="24"/>
                <w:lang w:val="en-US" w:eastAsia="en-US"/>
              </w:rPr>
              <w:t xml:space="preserve"> entry in the GLCM (see the sub-section “Textural features” for definition and Figure 3 for an example), and represents the probability of finding a pixel pair with intensity values </w:t>
            </w:r>
            <m:oMath>
              <m:r>
                <w:rPr>
                  <w:rFonts w:ascii="Cambria Math" w:hAnsi="Cambria Math" w:cs="Arial"/>
                  <w:lang w:val="en-US"/>
                </w:rPr>
                <m:t>i</m:t>
              </m:r>
            </m:oMath>
            <w:r w:rsidRPr="004C28BD">
              <w:rPr>
                <w:rFonts w:ascii="Arial" w:eastAsiaTheme="minorHAnsi" w:hAnsi="Arial" w:cs="Arial"/>
                <w:sz w:val="24"/>
                <w:szCs w:val="24"/>
                <w:lang w:val="en-US" w:eastAsia="en-US"/>
              </w:rPr>
              <w:t xml:space="preserve"> and </w:t>
            </w:r>
            <m:oMath>
              <m:r>
                <w:rPr>
                  <w:rFonts w:ascii="Cambria Math" w:hAnsi="Cambria Math" w:cs="Arial"/>
                  <w:lang w:val="en-US"/>
                </w:rPr>
                <m:t>j</m:t>
              </m:r>
            </m:oMath>
            <w:r w:rsidRPr="004C28BD">
              <w:rPr>
                <w:rFonts w:ascii="Arial" w:eastAsiaTheme="minorHAnsi" w:hAnsi="Arial" w:cs="Arial"/>
                <w:sz w:val="24"/>
                <w:szCs w:val="24"/>
                <w:lang w:val="en-US" w:eastAsia="en-US"/>
              </w:rPr>
              <w:t xml:space="preserve"> at a given distance (d) and angle (</w:t>
            </w:r>
            <m:oMath>
              <m:r>
                <m:rPr>
                  <m:sty m:val="p"/>
                </m:rPr>
                <w:rPr>
                  <w:rFonts w:ascii="Cambria Math" w:hAnsi="Cambria Math" w:cs="Arial"/>
                  <w:lang w:val="en-US"/>
                </w:rPr>
                <m:t>θ</m:t>
              </m:r>
            </m:oMath>
            <w:r w:rsidRPr="004C28BD">
              <w:rPr>
                <w:rFonts w:ascii="Arial" w:eastAsiaTheme="minorHAnsi" w:hAnsi="Arial" w:cs="Arial"/>
                <w:sz w:val="24"/>
                <w:szCs w:val="24"/>
                <w:lang w:val="en-US" w:eastAsia="en-US"/>
              </w:rPr>
              <w:t>) in the image</w:t>
            </w:r>
          </w:p>
        </w:tc>
        <w:tc>
          <w:tcPr>
            <w:tcW w:w="2154" w:type="dxa"/>
            <w:tcBorders>
              <w:top w:val="nil"/>
              <w:bottom w:val="nil"/>
            </w:tcBorders>
            <w:vAlign w:val="center"/>
          </w:tcPr>
          <w:p w14:paraId="5F4B3EC8"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hAnsi="Arial" w:cs="Arial"/>
                <w:lang w:val="en-US"/>
              </w:rPr>
              <w:t>2</w:t>
            </w:r>
          </w:p>
        </w:tc>
      </w:tr>
      <w:tr w:rsidR="00FA6319" w:rsidRPr="004C28BD" w14:paraId="746CA0AA" w14:textId="77777777" w:rsidTr="00A74524">
        <w:trPr>
          <w:trHeight w:val="337"/>
          <w:jc w:val="center"/>
        </w:trPr>
        <w:tc>
          <w:tcPr>
            <w:tcW w:w="1985" w:type="dxa"/>
            <w:tcBorders>
              <w:top w:val="nil"/>
              <w:bottom w:val="nil"/>
            </w:tcBorders>
            <w:vAlign w:val="center"/>
          </w:tcPr>
          <w:p w14:paraId="78AAAFAA" w14:textId="77777777" w:rsidR="00FA6319" w:rsidRPr="004C28BD" w:rsidRDefault="00000000" w:rsidP="00A74524">
            <w:pPr>
              <w:jc w:val="center"/>
              <w:rPr>
                <w:rFonts w:ascii="Arial" w:eastAsiaTheme="minorHAnsi" w:hAnsi="Arial" w:cs="Arial"/>
                <w:sz w:val="24"/>
                <w:szCs w:val="24"/>
                <w:lang w:val="en-US" w:eastAsia="en-US"/>
              </w:rPr>
            </w:pPr>
            <m:oMathPara>
              <m:oMath>
                <m:sSub>
                  <m:sSubPr>
                    <m:ctrlPr>
                      <w:rPr>
                        <w:rFonts w:ascii="Cambria Math" w:eastAsiaTheme="minorHAnsi" w:hAnsi="Cambria Math" w:cs="Arial"/>
                        <w:i/>
                        <w:sz w:val="24"/>
                        <w:szCs w:val="24"/>
                        <w:lang w:val="en-US" w:eastAsia="en-US"/>
                      </w:rPr>
                    </m:ctrlPr>
                  </m:sSubPr>
                  <m:e>
                    <m:r>
                      <m:rPr>
                        <m:sty m:val="p"/>
                      </m:rPr>
                      <w:rPr>
                        <w:rFonts w:ascii="Cambria Math" w:hAnsi="Cambria Math" w:cs="Arial"/>
                        <w:lang w:val="en-US"/>
                      </w:rPr>
                      <m:t>μ</m:t>
                    </m:r>
                  </m:e>
                  <m:sub>
                    <m:r>
                      <w:rPr>
                        <w:rFonts w:ascii="Cambria Math" w:hAnsi="Cambria Math" w:cs="Arial"/>
                        <w:lang w:val="en-US"/>
                      </w:rPr>
                      <m:t>i</m:t>
                    </m:r>
                  </m:sub>
                </m:sSub>
              </m:oMath>
            </m:oMathPara>
          </w:p>
        </w:tc>
        <w:tc>
          <w:tcPr>
            <w:tcW w:w="4744" w:type="dxa"/>
            <w:tcBorders>
              <w:top w:val="nil"/>
              <w:bottom w:val="nil"/>
            </w:tcBorders>
            <w:vAlign w:val="center"/>
          </w:tcPr>
          <w:p w14:paraId="4721FEB9"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eastAsiaTheme="minorHAnsi" w:hAnsi="Arial" w:cs="Arial"/>
                <w:sz w:val="24"/>
                <w:szCs w:val="24"/>
                <w:lang w:val="en-US" w:eastAsia="en-US"/>
              </w:rPr>
              <w:t>GLCM mean</w:t>
            </w:r>
          </w:p>
        </w:tc>
        <w:tc>
          <w:tcPr>
            <w:tcW w:w="2154" w:type="dxa"/>
            <w:tcBorders>
              <w:top w:val="nil"/>
              <w:bottom w:val="nil"/>
            </w:tcBorders>
            <w:vAlign w:val="center"/>
          </w:tcPr>
          <w:p w14:paraId="7E35E3AF"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hAnsi="Arial" w:cs="Arial"/>
                <w:lang w:val="en-US"/>
              </w:rPr>
              <w:t>2</w:t>
            </w:r>
          </w:p>
        </w:tc>
      </w:tr>
      <w:tr w:rsidR="00FA6319" w:rsidRPr="004C28BD" w14:paraId="69C23BB8" w14:textId="77777777" w:rsidTr="00A74524">
        <w:trPr>
          <w:trHeight w:val="337"/>
          <w:jc w:val="center"/>
        </w:trPr>
        <w:tc>
          <w:tcPr>
            <w:tcW w:w="1985" w:type="dxa"/>
            <w:tcBorders>
              <w:top w:val="nil"/>
              <w:bottom w:val="nil"/>
            </w:tcBorders>
            <w:vAlign w:val="center"/>
          </w:tcPr>
          <w:p w14:paraId="065C8FC6" w14:textId="77777777" w:rsidR="00FA6319" w:rsidRPr="004C28BD" w:rsidRDefault="00000000" w:rsidP="00A74524">
            <w:pPr>
              <w:jc w:val="center"/>
              <w:rPr>
                <w:rFonts w:ascii="Arial" w:eastAsiaTheme="minorHAnsi" w:hAnsi="Arial" w:cs="Arial"/>
                <w:sz w:val="24"/>
                <w:szCs w:val="24"/>
                <w:lang w:val="en-US" w:eastAsia="en-US"/>
              </w:rPr>
            </w:pPr>
            <m:oMathPara>
              <m:oMath>
                <m:sSubSup>
                  <m:sSubSupPr>
                    <m:ctrlPr>
                      <w:rPr>
                        <w:rFonts w:ascii="Cambria Math" w:eastAsiaTheme="minorHAnsi" w:hAnsi="Cambria Math" w:cs="Arial"/>
                        <w:i/>
                        <w:sz w:val="24"/>
                        <w:szCs w:val="24"/>
                        <w:lang w:val="en-US" w:eastAsia="en-US"/>
                      </w:rPr>
                    </m:ctrlPr>
                  </m:sSubSupPr>
                  <m:e>
                    <m:r>
                      <m:rPr>
                        <m:sty m:val="p"/>
                      </m:rPr>
                      <w:rPr>
                        <w:rFonts w:ascii="Cambria Math" w:hAnsi="Cambria Math" w:cs="Arial"/>
                        <w:lang w:val="en-US"/>
                      </w:rPr>
                      <m:t>σ</m:t>
                    </m:r>
                  </m:e>
                  <m:sub>
                    <m:r>
                      <w:rPr>
                        <w:rFonts w:ascii="Cambria Math" w:hAnsi="Cambria Math" w:cs="Arial"/>
                        <w:lang w:val="en-US"/>
                      </w:rPr>
                      <m:t>i</m:t>
                    </m:r>
                  </m:sub>
                  <m:sup>
                    <m:r>
                      <w:rPr>
                        <w:rFonts w:ascii="Cambria Math" w:hAnsi="Cambria Math" w:cs="Arial"/>
                        <w:lang w:val="en-US"/>
                      </w:rPr>
                      <m:t>2</m:t>
                    </m:r>
                  </m:sup>
                </m:sSubSup>
              </m:oMath>
            </m:oMathPara>
          </w:p>
        </w:tc>
        <w:tc>
          <w:tcPr>
            <w:tcW w:w="4744" w:type="dxa"/>
            <w:tcBorders>
              <w:top w:val="nil"/>
              <w:bottom w:val="nil"/>
            </w:tcBorders>
            <w:vAlign w:val="center"/>
          </w:tcPr>
          <w:p w14:paraId="280455B4"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eastAsiaTheme="minorHAnsi" w:hAnsi="Arial" w:cs="Arial"/>
                <w:sz w:val="24"/>
                <w:szCs w:val="24"/>
                <w:lang w:val="en-US" w:eastAsia="en-US"/>
              </w:rPr>
              <w:t>GLCM variance</w:t>
            </w:r>
          </w:p>
        </w:tc>
        <w:tc>
          <w:tcPr>
            <w:tcW w:w="2154" w:type="dxa"/>
            <w:tcBorders>
              <w:top w:val="nil"/>
              <w:bottom w:val="nil"/>
            </w:tcBorders>
            <w:vAlign w:val="center"/>
          </w:tcPr>
          <w:p w14:paraId="4958ABC3"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hAnsi="Arial" w:cs="Arial"/>
                <w:lang w:val="en-US"/>
              </w:rPr>
              <w:t>2</w:t>
            </w:r>
          </w:p>
        </w:tc>
      </w:tr>
      <w:tr w:rsidR="00FA6319" w:rsidRPr="004C28BD" w14:paraId="6ECC9B58" w14:textId="77777777" w:rsidTr="00A74524">
        <w:trPr>
          <w:trHeight w:val="348"/>
          <w:jc w:val="center"/>
        </w:trPr>
        <w:tc>
          <w:tcPr>
            <w:tcW w:w="1985" w:type="dxa"/>
            <w:tcBorders>
              <w:top w:val="nil"/>
              <w:bottom w:val="nil"/>
            </w:tcBorders>
            <w:vAlign w:val="center"/>
          </w:tcPr>
          <w:p w14:paraId="5B79E08D"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eastAsiaTheme="minorHAnsi" w:hAnsi="Arial" w:cs="Arial"/>
                <w:sz w:val="24"/>
                <w:szCs w:val="24"/>
                <w:lang w:val="en-US" w:eastAsia="en-US"/>
              </w:rPr>
              <w:t>Color</w:t>
            </w:r>
          </w:p>
        </w:tc>
        <w:tc>
          <w:tcPr>
            <w:tcW w:w="4744" w:type="dxa"/>
            <w:tcBorders>
              <w:top w:val="nil"/>
              <w:bottom w:val="nil"/>
            </w:tcBorders>
            <w:vAlign w:val="center"/>
          </w:tcPr>
          <w:p w14:paraId="6DA871D6" w14:textId="77777777" w:rsidR="00FA6319" w:rsidRPr="004C28BD" w:rsidRDefault="00FA6319" w:rsidP="00A74524">
            <w:pPr>
              <w:jc w:val="center"/>
              <w:rPr>
                <w:rFonts w:ascii="Arial" w:eastAsiaTheme="minorHAnsi" w:hAnsi="Arial" w:cs="Arial"/>
                <w:sz w:val="24"/>
                <w:szCs w:val="24"/>
                <w:lang w:val="en-US" w:eastAsia="en-US"/>
              </w:rPr>
            </w:pPr>
          </w:p>
        </w:tc>
        <w:tc>
          <w:tcPr>
            <w:tcW w:w="2154" w:type="dxa"/>
            <w:tcBorders>
              <w:top w:val="nil"/>
              <w:bottom w:val="nil"/>
            </w:tcBorders>
            <w:vAlign w:val="center"/>
          </w:tcPr>
          <w:p w14:paraId="72241F2B" w14:textId="77777777" w:rsidR="00FA6319" w:rsidRPr="004C28BD" w:rsidRDefault="00FA6319" w:rsidP="00A74524">
            <w:pPr>
              <w:jc w:val="center"/>
              <w:rPr>
                <w:rFonts w:ascii="Arial" w:eastAsiaTheme="minorHAnsi" w:hAnsi="Arial" w:cs="Arial"/>
                <w:sz w:val="24"/>
                <w:szCs w:val="24"/>
                <w:lang w:val="en-US" w:eastAsia="en-US"/>
              </w:rPr>
            </w:pPr>
          </w:p>
        </w:tc>
      </w:tr>
      <w:tr w:rsidR="00FA6319" w:rsidRPr="004C28BD" w14:paraId="62098498" w14:textId="77777777" w:rsidTr="00A74524">
        <w:trPr>
          <w:trHeight w:val="337"/>
          <w:jc w:val="center"/>
        </w:trPr>
        <w:tc>
          <w:tcPr>
            <w:tcW w:w="1985" w:type="dxa"/>
            <w:tcBorders>
              <w:top w:val="nil"/>
              <w:bottom w:val="nil"/>
            </w:tcBorders>
            <w:vAlign w:val="center"/>
          </w:tcPr>
          <w:p w14:paraId="3A70805F" w14:textId="77777777" w:rsidR="00FA6319" w:rsidRPr="004C28BD" w:rsidRDefault="00FA6319" w:rsidP="00A74524">
            <w:pPr>
              <w:jc w:val="center"/>
              <w:rPr>
                <w:rFonts w:ascii="Arial" w:eastAsiaTheme="minorHAnsi" w:hAnsi="Arial" w:cs="Arial"/>
                <w:sz w:val="24"/>
                <w:szCs w:val="24"/>
                <w:lang w:val="en-US" w:eastAsia="en-US"/>
              </w:rPr>
            </w:pPr>
            <m:oMathPara>
              <m:oMath>
                <m:r>
                  <w:rPr>
                    <w:rFonts w:ascii="Cambria Math" w:hAnsi="Cambria Math" w:cs="Arial"/>
                    <w:lang w:val="en-US"/>
                  </w:rPr>
                  <m:t>N</m:t>
                </m:r>
              </m:oMath>
            </m:oMathPara>
          </w:p>
        </w:tc>
        <w:tc>
          <w:tcPr>
            <w:tcW w:w="4744" w:type="dxa"/>
            <w:tcBorders>
              <w:top w:val="nil"/>
              <w:bottom w:val="nil"/>
            </w:tcBorders>
            <w:vAlign w:val="center"/>
          </w:tcPr>
          <w:p w14:paraId="08F98AAA"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eastAsiaTheme="minorHAnsi" w:hAnsi="Arial" w:cs="Arial"/>
                <w:sz w:val="24"/>
                <w:szCs w:val="24"/>
                <w:lang w:val="en-US" w:eastAsia="en-US"/>
              </w:rPr>
              <w:t>Total number of pixels</w:t>
            </w:r>
          </w:p>
        </w:tc>
        <w:tc>
          <w:tcPr>
            <w:tcW w:w="2154" w:type="dxa"/>
            <w:tcBorders>
              <w:top w:val="nil"/>
              <w:bottom w:val="nil"/>
            </w:tcBorders>
            <w:vAlign w:val="center"/>
          </w:tcPr>
          <w:p w14:paraId="6849608A"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eastAsiaTheme="minorHAnsi" w:hAnsi="Arial" w:cs="Arial"/>
                <w:sz w:val="24"/>
                <w:szCs w:val="24"/>
                <w:lang w:val="en-US" w:eastAsia="en-US"/>
              </w:rPr>
              <w:t>–</w:t>
            </w:r>
          </w:p>
        </w:tc>
      </w:tr>
      <w:tr w:rsidR="00FA6319" w:rsidRPr="004C28BD" w14:paraId="2A78BEF1" w14:textId="77777777" w:rsidTr="00A74524">
        <w:trPr>
          <w:trHeight w:val="337"/>
          <w:jc w:val="center"/>
        </w:trPr>
        <w:tc>
          <w:tcPr>
            <w:tcW w:w="1985" w:type="dxa"/>
            <w:tcBorders>
              <w:top w:val="nil"/>
              <w:bottom w:val="nil"/>
            </w:tcBorders>
            <w:vAlign w:val="center"/>
          </w:tcPr>
          <w:p w14:paraId="22309BBB" w14:textId="77777777" w:rsidR="00FA6319" w:rsidRPr="004C28BD" w:rsidRDefault="00000000" w:rsidP="00A74524">
            <w:pPr>
              <w:jc w:val="center"/>
              <w:rPr>
                <w:rFonts w:ascii="Arial" w:eastAsiaTheme="minorHAnsi" w:hAnsi="Arial" w:cs="Arial"/>
                <w:sz w:val="24"/>
                <w:szCs w:val="24"/>
                <w:lang w:val="en-US" w:eastAsia="en-US"/>
              </w:rPr>
            </w:pPr>
            <m:oMathPara>
              <m:oMath>
                <m:sSub>
                  <m:sSubPr>
                    <m:ctrlPr>
                      <w:rPr>
                        <w:rFonts w:ascii="Cambria Math" w:eastAsiaTheme="minorHAnsi" w:hAnsi="Cambria Math" w:cs="Arial"/>
                        <w:sz w:val="24"/>
                        <w:szCs w:val="24"/>
                        <w:lang w:val="en-US" w:eastAsia="en-US"/>
                      </w:rPr>
                    </m:ctrlPr>
                  </m:sSubPr>
                  <m:e>
                    <m:r>
                      <w:rPr>
                        <w:rFonts w:ascii="Cambria Math" w:hAnsi="Cambria Math" w:cs="Arial"/>
                        <w:lang w:val="en-US"/>
                      </w:rPr>
                      <m:t>x</m:t>
                    </m:r>
                  </m:e>
                  <m:sub>
                    <m:r>
                      <w:rPr>
                        <w:rFonts w:ascii="Cambria Math" w:hAnsi="Cambria Math" w:cs="Arial"/>
                        <w:lang w:val="en-US"/>
                      </w:rPr>
                      <m:t>i</m:t>
                    </m:r>
                  </m:sub>
                </m:sSub>
              </m:oMath>
            </m:oMathPara>
          </w:p>
        </w:tc>
        <w:tc>
          <w:tcPr>
            <w:tcW w:w="4744" w:type="dxa"/>
            <w:tcBorders>
              <w:top w:val="nil"/>
              <w:bottom w:val="nil"/>
            </w:tcBorders>
            <w:vAlign w:val="center"/>
          </w:tcPr>
          <w:p w14:paraId="3DD3069D"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eastAsiaTheme="minorHAnsi" w:hAnsi="Arial" w:cs="Arial"/>
                <w:sz w:val="24"/>
                <w:szCs w:val="24"/>
                <w:lang w:val="en-US" w:eastAsia="en-US"/>
              </w:rPr>
              <w:t>Pixel intensity value</w:t>
            </w:r>
          </w:p>
        </w:tc>
        <w:tc>
          <w:tcPr>
            <w:tcW w:w="2154" w:type="dxa"/>
            <w:tcBorders>
              <w:top w:val="nil"/>
              <w:bottom w:val="nil"/>
            </w:tcBorders>
            <w:vAlign w:val="center"/>
          </w:tcPr>
          <w:p w14:paraId="63B178EB"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eastAsiaTheme="minorHAnsi" w:hAnsi="Arial" w:cs="Arial"/>
                <w:sz w:val="24"/>
                <w:szCs w:val="24"/>
                <w:lang w:val="en-US" w:eastAsia="en-US"/>
              </w:rPr>
              <w:t>–</w:t>
            </w:r>
          </w:p>
        </w:tc>
      </w:tr>
      <w:tr w:rsidR="00FA6319" w:rsidRPr="004C28BD" w14:paraId="2CE206BD" w14:textId="77777777" w:rsidTr="00A74524">
        <w:trPr>
          <w:trHeight w:val="337"/>
          <w:jc w:val="center"/>
        </w:trPr>
        <w:tc>
          <w:tcPr>
            <w:tcW w:w="1985" w:type="dxa"/>
            <w:tcBorders>
              <w:top w:val="nil"/>
              <w:bottom w:val="single" w:sz="4" w:space="0" w:color="auto"/>
            </w:tcBorders>
            <w:vAlign w:val="center"/>
          </w:tcPr>
          <w:p w14:paraId="7541E8C8" w14:textId="77777777" w:rsidR="00FA6319" w:rsidRPr="004C28BD" w:rsidRDefault="00000000" w:rsidP="00A74524">
            <w:pPr>
              <w:jc w:val="center"/>
              <w:rPr>
                <w:rFonts w:ascii="Arial" w:eastAsiaTheme="minorHAnsi" w:hAnsi="Arial" w:cs="Arial"/>
                <w:sz w:val="24"/>
                <w:szCs w:val="24"/>
                <w:lang w:val="en-US" w:eastAsia="en-US"/>
              </w:rPr>
            </w:pPr>
            <m:oMathPara>
              <m:oMath>
                <m:bar>
                  <m:barPr>
                    <m:pos m:val="top"/>
                    <m:ctrlPr>
                      <w:rPr>
                        <w:rFonts w:ascii="Cambria Math" w:eastAsiaTheme="minorHAnsi" w:hAnsi="Cambria Math" w:cs="Arial"/>
                        <w:sz w:val="24"/>
                        <w:szCs w:val="24"/>
                        <w:lang w:val="en-US" w:eastAsia="en-US"/>
                      </w:rPr>
                    </m:ctrlPr>
                  </m:barPr>
                  <m:e>
                    <m:r>
                      <w:rPr>
                        <w:rFonts w:ascii="Cambria Math" w:hAnsi="Cambria Math" w:cs="Arial"/>
                        <w:lang w:val="en-US"/>
                      </w:rPr>
                      <m:t>x</m:t>
                    </m:r>
                  </m:e>
                </m:bar>
              </m:oMath>
            </m:oMathPara>
          </w:p>
        </w:tc>
        <w:tc>
          <w:tcPr>
            <w:tcW w:w="4744" w:type="dxa"/>
            <w:tcBorders>
              <w:top w:val="nil"/>
              <w:bottom w:val="single" w:sz="4" w:space="0" w:color="auto"/>
            </w:tcBorders>
            <w:vAlign w:val="center"/>
          </w:tcPr>
          <w:p w14:paraId="7C8C3A90"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eastAsiaTheme="minorHAnsi" w:hAnsi="Arial" w:cs="Arial"/>
                <w:sz w:val="24"/>
                <w:szCs w:val="24"/>
                <w:lang w:val="en-US" w:eastAsia="en-US"/>
              </w:rPr>
              <w:t>Mean of pixel intensity values</w:t>
            </w:r>
          </w:p>
        </w:tc>
        <w:tc>
          <w:tcPr>
            <w:tcW w:w="2154" w:type="dxa"/>
            <w:tcBorders>
              <w:top w:val="nil"/>
              <w:bottom w:val="single" w:sz="4" w:space="0" w:color="auto"/>
            </w:tcBorders>
            <w:vAlign w:val="center"/>
          </w:tcPr>
          <w:p w14:paraId="2AAF9489" w14:textId="77777777" w:rsidR="00FA6319" w:rsidRPr="004C28BD" w:rsidRDefault="00FA6319" w:rsidP="00A74524">
            <w:pPr>
              <w:jc w:val="center"/>
              <w:rPr>
                <w:rFonts w:ascii="Arial" w:eastAsiaTheme="minorHAnsi" w:hAnsi="Arial" w:cs="Arial"/>
                <w:sz w:val="24"/>
                <w:szCs w:val="24"/>
                <w:lang w:val="en-US" w:eastAsia="en-US"/>
              </w:rPr>
            </w:pPr>
            <w:r w:rsidRPr="004C28BD">
              <w:rPr>
                <w:rFonts w:ascii="Arial" w:eastAsiaTheme="minorHAnsi" w:hAnsi="Arial" w:cs="Arial"/>
                <w:sz w:val="24"/>
                <w:szCs w:val="24"/>
                <w:lang w:val="en-US" w:eastAsia="en-US"/>
              </w:rPr>
              <w:t>–</w:t>
            </w:r>
          </w:p>
        </w:tc>
      </w:tr>
    </w:tbl>
    <w:p w14:paraId="7629589F" w14:textId="77777777" w:rsidR="00FA6319" w:rsidRPr="00B64B6D" w:rsidRDefault="00FA6319" w:rsidP="00FA6319">
      <w:pPr>
        <w:rPr>
          <w:rFonts w:ascii="Arial" w:hAnsi="Arial" w:cs="Arial"/>
          <w:lang w:val="fr-FR"/>
        </w:rPr>
      </w:pPr>
      <w:r w:rsidRPr="00B64B6D">
        <w:rPr>
          <w:rFonts w:ascii="Arial" w:hAnsi="Arial" w:cs="Arial"/>
          <w:lang w:val="fr-FR"/>
        </w:rPr>
        <w:t xml:space="preserve">1: </w:t>
      </w:r>
      <w:r w:rsidR="00B64B6D">
        <w:rPr>
          <w:rFonts w:ascii="Arial" w:hAnsi="Arial" w:cs="Arial"/>
          <w:lang w:val="en-US"/>
        </w:rPr>
        <w:fldChar w:fldCharType="begin"/>
      </w:r>
      <w:r w:rsidR="00B64B6D" w:rsidRPr="00B64B6D">
        <w:rPr>
          <w:rFonts w:ascii="Arial" w:hAnsi="Arial" w:cs="Arial"/>
          <w:lang w:val="fr-FR"/>
        </w:rPr>
        <w:instrText xml:space="preserve"> ADDIN ZOTERO_ITEM CSL_CITATION {"citationID":"owhAnO7A","properties":{"unsorted":false,"formattedCitation":"(D\\uc0\\u252{}rig et al., 2018)","plainCitation":"(Dürig et al., 2018)","noteIndex":0},"citationItems":[{"id":601,"uris":["http://zotero.org/users/15080891/items/PFCGSNMA"],"itemData":{"id":601,"type":"article-journal","abstract":"In volcanology, 2D morphometric analysis is a method often applied for quantitative characterization of eruptive products, used to compare tephra from different events or phases, infer eruptive styles and underlying clast generating mechanisms, or describe the aerodynamic behavior of tephra. Such particle shape analyses can be conducted using particle silhouettes or cross-sectional slices, obtained under by means of electron or optical microscope imagery. Over the course of the last years, a number of different morphometric systems have been used. Each of them uses its own nomenclature and mathematical definitions of shape-describing parameters, some of which can only be obtained using specific commercial software.With the PARTIcal Shape ANalyzer PARTISAN we present a freeware tool which parameterizes 2D shapes and provides a suite of shape descriptors, following the respective standards of the five most commonly used 2D morphometric systems. Use of PARTISAN will enable the user to study and archive the results of particle shape analysis in a format compatible with various published routines, thus increasing the potential for linking new work with results of work previously published by other groups. It will allow as well the cross-comparison of results obtained by these morphological routines. PARTISAN hence could be seen as a “Rosetta Stone” for volcanological particle morphometry, and opens the way towards an inter-group effort for a standardized 2D description of particle shapes.","container-title":"Annals of Geophysics","DOI":"10.4401/ag-7865","ISSN":"2037-416X","issue":"6 sup","language":"en","license":"Copyright (c) 2018 Annals of Geophysics","note":"number: 6 sup","page":"VO671-VO671","source":"www.annalsofgeophysics.eu","title":"PARTIcle Shape ANalyzer PARTISAN – an open source tool for multi-standard two-dimensional particle morphometry analysis","volume":"61","author":[{"family":"Dürig","given":"Tobias"},{"family":"Bowman","given":"M. Hamish"},{"family":"White","given":"James D. L."},{"family":"Murch","given":"Arran"},{"family":"Mele","given":"Daniela"},{"family":"Verolino","given":"Andrea"},{"family":"Dellino","given":"Pierfrancesco"}],"issued":{"date-parts":[["2018"]]}}}],"schema":"https://github.com/citation-style-language/schema/raw/master/csl-citation.json"} </w:instrText>
      </w:r>
      <w:r w:rsidR="00B64B6D">
        <w:rPr>
          <w:rFonts w:ascii="Arial" w:hAnsi="Arial" w:cs="Arial"/>
          <w:lang w:val="en-US"/>
        </w:rPr>
        <w:fldChar w:fldCharType="separate"/>
      </w:r>
      <w:r w:rsidR="00B64B6D" w:rsidRPr="00B64B6D">
        <w:rPr>
          <w:rFonts w:ascii="Arial" w:hAnsi="Arial" w:cs="Arial"/>
          <w:lang w:val="fr-FR"/>
          <w14:ligatures w14:val="standardContextual"/>
        </w:rPr>
        <w:t xml:space="preserve">Dürig et al., </w:t>
      </w:r>
      <w:r w:rsidR="00B64B6D">
        <w:rPr>
          <w:rFonts w:ascii="Arial" w:hAnsi="Arial" w:cs="Arial"/>
          <w:lang w:val="fr-FR"/>
          <w14:ligatures w14:val="standardContextual"/>
        </w:rPr>
        <w:t>(</w:t>
      </w:r>
      <w:r w:rsidR="00B64B6D" w:rsidRPr="00B64B6D">
        <w:rPr>
          <w:rFonts w:ascii="Arial" w:hAnsi="Arial" w:cs="Arial"/>
          <w:lang w:val="fr-FR"/>
          <w14:ligatures w14:val="standardContextual"/>
        </w:rPr>
        <w:t>2018)</w:t>
      </w:r>
      <w:r w:rsidR="00B64B6D">
        <w:rPr>
          <w:rFonts w:ascii="Arial" w:hAnsi="Arial" w:cs="Arial"/>
          <w:lang w:val="en-US"/>
        </w:rPr>
        <w:fldChar w:fldCharType="end"/>
      </w:r>
      <w:r w:rsidRPr="00B64B6D">
        <w:rPr>
          <w:rFonts w:ascii="Arial" w:hAnsi="Arial" w:cs="Arial"/>
          <w:lang w:val="fr-FR"/>
        </w:rPr>
        <w:t>.</w:t>
      </w:r>
    </w:p>
    <w:p w14:paraId="2B39D568" w14:textId="77777777" w:rsidR="00B64B6D" w:rsidRDefault="00FA6319" w:rsidP="00FA6319">
      <w:pPr>
        <w:spacing w:line="276" w:lineRule="auto"/>
        <w:rPr>
          <w:rFonts w:ascii="Arial" w:hAnsi="Arial" w:cs="Arial"/>
          <w:lang w:val="en-US"/>
        </w:rPr>
      </w:pPr>
      <w:r w:rsidRPr="004C28BD">
        <w:rPr>
          <w:rFonts w:ascii="Arial" w:hAnsi="Arial" w:cs="Arial"/>
          <w:lang w:val="en-US"/>
        </w:rPr>
        <w:t xml:space="preserve">2: </w:t>
      </w:r>
      <w:r w:rsidR="00B64B6D">
        <w:rPr>
          <w:rFonts w:ascii="Arial" w:hAnsi="Arial" w:cs="Arial"/>
          <w:lang w:val="en-US"/>
        </w:rPr>
        <w:fldChar w:fldCharType="begin"/>
      </w:r>
      <w:r w:rsidR="00B64B6D">
        <w:rPr>
          <w:rFonts w:ascii="Arial" w:hAnsi="Arial" w:cs="Arial"/>
          <w:lang w:val="en-US"/>
        </w:rPr>
        <w:instrText xml:space="preserve"> ADDIN ZOTERO_ITEM CSL_CITATION {"citationID":"GSw8HN8Z","properties":{"unsorted":false,"formattedCitation":"(Hall-Beyer, 2017)","plainCitation":"(Hall-Beyer, 2017)","noteIndex":0},"citationItems":[{"id":9098,"uris":["http://www.mendeley.com/documents/?uuid=dbd1b0d2-23e1-4bcd-a6af-398d0a931fb7","http://zotero.org/users/15080891/items/FTCU63PK"],"itemData":{"id":9098,"type":"article-journal","abstract":"Damaging effects of detonating high explosive charges of a few kilograms weight are only provided in the close proximity to the charge, even against soft target structures. The duration of the positive pressure pulse is very short, much less than 1 ms. It is virtually at least very difficult to measure the peak pressures and the pressure histories in these near distances resp. inside the fire ball for many different reasons. This means that any target structure in the near distance will be loaded not with the static pressure, but with a dynamic momentum, comparable to a ballistic pendulum. For this reason it is sufficient to determine the time integral, the momentum as a whole. Then only the impulse relates in these cases directly to the damaging effects. The momentum distribution of an on one-end initiated cylindrical high explosive charge is measured with the so-called momentum method which gives also high angle resolution. This high reproducible method has demonstrated that the radial momentum of a cylindrical charge increases drastically higher at nearer distances compared to diagonal directions. Strongly surprising is the difference of the momentum along the axis in the detonation direction, which is more than 10 times higher, compared to the rearward direction.","container-title":"17th International Symposium on Ballistics","issue":"March","page":"18-19","PMID":"103","title":"GLCM Texture: A Tutorial","volume":"2","author":[{"family":"Hall-Beyer","given":"Mryka"}],"issued":{"date-parts":[["2017"]]}}}],"schema":"https://github.com/citation-style-language/schema/raw/master/csl-citation.json"} </w:instrText>
      </w:r>
      <w:r w:rsidR="00B64B6D">
        <w:rPr>
          <w:rFonts w:ascii="Arial" w:hAnsi="Arial" w:cs="Arial"/>
          <w:lang w:val="en-US"/>
        </w:rPr>
        <w:fldChar w:fldCharType="separate"/>
      </w:r>
      <w:r w:rsidR="00B64B6D">
        <w:rPr>
          <w:rFonts w:ascii="Arial" w:hAnsi="Arial" w:cs="Arial"/>
          <w:noProof/>
          <w:lang w:val="en-US"/>
        </w:rPr>
        <w:t>Hall-Beyer (2017)</w:t>
      </w:r>
      <w:r w:rsidR="00B64B6D">
        <w:rPr>
          <w:rFonts w:ascii="Arial" w:hAnsi="Arial" w:cs="Arial"/>
          <w:lang w:val="en-US"/>
        </w:rPr>
        <w:fldChar w:fldCharType="end"/>
      </w:r>
      <w:r w:rsidR="00B64B6D">
        <w:rPr>
          <w:rFonts w:ascii="Arial" w:hAnsi="Arial" w:cs="Arial"/>
          <w:lang w:val="en-US"/>
        </w:rPr>
        <w:t>.</w:t>
      </w:r>
    </w:p>
    <w:p w14:paraId="64BCC42E" w14:textId="77777777" w:rsidR="00B64B6D" w:rsidRPr="004C28BD" w:rsidRDefault="00B64B6D" w:rsidP="00B64B6D">
      <w:pPr>
        <w:rPr>
          <w:rFonts w:ascii="Arial" w:hAnsi="Arial" w:cs="Arial"/>
          <w:lang w:val="en-US"/>
        </w:rPr>
      </w:pPr>
      <w:r>
        <w:rPr>
          <w:rFonts w:ascii="Arial" w:hAnsi="Arial" w:cs="Arial"/>
        </w:rPr>
        <w:t xml:space="preserve">3: </w:t>
      </w:r>
      <w:r w:rsidRPr="004C28BD">
        <w:rPr>
          <w:rFonts w:ascii="Arial" w:hAnsi="Arial" w:cs="Arial"/>
        </w:rPr>
        <w:t>GLCM stands for 'Gray Level Co-occurrence Matrix'</w:t>
      </w:r>
      <w:r w:rsidRPr="004C28BD">
        <w:rPr>
          <w:rFonts w:ascii="Arial" w:hAnsi="Arial" w:cs="Arial"/>
          <w:lang w:val="en-US"/>
        </w:rPr>
        <w:t>.</w:t>
      </w:r>
    </w:p>
    <w:p w14:paraId="38BF0AE7" w14:textId="77777777" w:rsidR="00B64B6D" w:rsidRPr="004C28BD" w:rsidRDefault="00B64B6D" w:rsidP="00FA6319">
      <w:pPr>
        <w:spacing w:line="276" w:lineRule="auto"/>
        <w:rPr>
          <w:rFonts w:ascii="Arial" w:hAnsi="Arial" w:cs="Arial"/>
          <w:lang w:val="en-US"/>
        </w:rPr>
        <w:sectPr w:rsidR="00B64B6D" w:rsidRPr="004C28BD" w:rsidSect="00825D32">
          <w:pgSz w:w="11906" w:h="16838"/>
          <w:pgMar w:top="1440" w:right="1440" w:bottom="1440" w:left="1440" w:header="709" w:footer="709" w:gutter="0"/>
          <w:cols w:space="708"/>
          <w:docGrid w:linePitch="360"/>
        </w:sectPr>
      </w:pPr>
    </w:p>
    <w:p w14:paraId="141212DE" w14:textId="77777777" w:rsidR="00FA6319" w:rsidRPr="004C28BD" w:rsidRDefault="00FA6319" w:rsidP="00FA6319">
      <w:pPr>
        <w:pStyle w:val="tablecaption"/>
        <w:rPr>
          <w:rFonts w:ascii="Arial" w:hAnsi="Arial" w:cs="Arial"/>
          <w:lang w:val="en-US"/>
        </w:rPr>
      </w:pPr>
      <w:r w:rsidRPr="004C28BD">
        <w:rPr>
          <w:rFonts w:ascii="Arial" w:hAnsi="Arial" w:cs="Arial"/>
          <w:lang w:val="en-US"/>
        </w:rPr>
        <w:lastRenderedPageBreak/>
        <w:t xml:space="preserve">Table </w:t>
      </w:r>
      <w:r w:rsidR="00CD1A33">
        <w:rPr>
          <w:rFonts w:ascii="Arial" w:hAnsi="Arial" w:cs="Arial"/>
          <w:lang w:val="en-US"/>
        </w:rPr>
        <w:t>S</w:t>
      </w:r>
      <w:r w:rsidRPr="004C28BD">
        <w:rPr>
          <w:rFonts w:ascii="Arial" w:hAnsi="Arial" w:cs="Arial"/>
          <w:lang w:val="en-US"/>
        </w:rPr>
        <w:t>2</w:t>
      </w:r>
    </w:p>
    <w:tbl>
      <w:tblPr>
        <w:tblStyle w:val="PlainTable5"/>
        <w:tblpPr w:leftFromText="180" w:rightFromText="180" w:vertAnchor="text" w:tblpY="1"/>
        <w:tblOverlap w:val="never"/>
        <w:tblW w:w="9287" w:type="dxa"/>
        <w:tblLayout w:type="fixed"/>
        <w:tblLook w:val="0420" w:firstRow="1" w:lastRow="0" w:firstColumn="0" w:lastColumn="0" w:noHBand="0" w:noVBand="1"/>
      </w:tblPr>
      <w:tblGrid>
        <w:gridCol w:w="1738"/>
        <w:gridCol w:w="2897"/>
        <w:gridCol w:w="2326"/>
        <w:gridCol w:w="2326"/>
      </w:tblGrid>
      <w:tr w:rsidR="00FA6319" w:rsidRPr="004C28BD" w14:paraId="7C243A36" w14:textId="77777777" w:rsidTr="00A74524">
        <w:trPr>
          <w:cnfStyle w:val="100000000000" w:firstRow="1" w:lastRow="0" w:firstColumn="0" w:lastColumn="0" w:oddVBand="0" w:evenVBand="0" w:oddHBand="0" w:evenHBand="0" w:firstRowFirstColumn="0" w:firstRowLastColumn="0" w:lastRowFirstColumn="0" w:lastRowLastColumn="0"/>
          <w:trHeight w:val="360"/>
        </w:trPr>
        <w:tc>
          <w:tcPr>
            <w:tcW w:w="1738" w:type="dxa"/>
            <w:tcBorders>
              <w:top w:val="single" w:sz="4" w:space="0" w:color="auto"/>
            </w:tcBorders>
            <w:shd w:val="clear" w:color="auto" w:fill="auto"/>
            <w:noWrap/>
            <w:vAlign w:val="center"/>
          </w:tcPr>
          <w:p w14:paraId="146A850D" w14:textId="77777777" w:rsidR="00FA6319" w:rsidRPr="004C28BD" w:rsidRDefault="00FA6319" w:rsidP="00A74524">
            <w:pPr>
              <w:spacing w:line="276" w:lineRule="auto"/>
              <w:jc w:val="center"/>
              <w:rPr>
                <w:rFonts w:ascii="Arial" w:eastAsiaTheme="minorHAnsi" w:hAnsi="Arial" w:cs="Arial"/>
                <w:b/>
                <w:bCs/>
                <w:i w:val="0"/>
                <w:iCs w:val="0"/>
                <w:sz w:val="22"/>
                <w:szCs w:val="22"/>
                <w:lang w:val="en-US"/>
              </w:rPr>
            </w:pPr>
            <w:r w:rsidRPr="004C28BD">
              <w:rPr>
                <w:rFonts w:ascii="Arial" w:eastAsiaTheme="minorHAnsi" w:hAnsi="Arial" w:cs="Arial"/>
                <w:b/>
                <w:bCs/>
                <w:i w:val="0"/>
                <w:iCs w:val="0"/>
                <w:sz w:val="22"/>
                <w:szCs w:val="22"/>
                <w:lang w:val="en-US"/>
              </w:rPr>
              <w:t>Feature</w:t>
            </w:r>
          </w:p>
        </w:tc>
        <w:tc>
          <w:tcPr>
            <w:tcW w:w="2897" w:type="dxa"/>
            <w:tcBorders>
              <w:top w:val="single" w:sz="4" w:space="0" w:color="auto"/>
            </w:tcBorders>
            <w:shd w:val="clear" w:color="auto" w:fill="auto"/>
            <w:vAlign w:val="center"/>
          </w:tcPr>
          <w:p w14:paraId="557EF241" w14:textId="77777777" w:rsidR="00FA6319" w:rsidRPr="004C28BD" w:rsidRDefault="00FA6319" w:rsidP="00A74524">
            <w:pPr>
              <w:spacing w:line="276" w:lineRule="auto"/>
              <w:jc w:val="center"/>
              <w:rPr>
                <w:rFonts w:ascii="Arial" w:eastAsiaTheme="minorHAnsi" w:hAnsi="Arial" w:cs="Arial"/>
                <w:b/>
                <w:bCs/>
                <w:i w:val="0"/>
                <w:iCs w:val="0"/>
                <w:sz w:val="22"/>
                <w:szCs w:val="22"/>
                <w:lang w:val="en-US"/>
              </w:rPr>
            </w:pPr>
            <w:r w:rsidRPr="004C28BD">
              <w:rPr>
                <w:rFonts w:ascii="Arial" w:eastAsiaTheme="minorHAnsi" w:hAnsi="Arial" w:cs="Arial"/>
                <w:b/>
                <w:bCs/>
                <w:i w:val="0"/>
                <w:iCs w:val="0"/>
                <w:sz w:val="22"/>
                <w:szCs w:val="22"/>
                <w:lang w:val="en-US"/>
              </w:rPr>
              <w:t>Equation</w:t>
            </w:r>
          </w:p>
        </w:tc>
        <w:tc>
          <w:tcPr>
            <w:tcW w:w="2326" w:type="dxa"/>
            <w:tcBorders>
              <w:top w:val="single" w:sz="4" w:space="0" w:color="auto"/>
            </w:tcBorders>
            <w:shd w:val="clear" w:color="auto" w:fill="auto"/>
            <w:vAlign w:val="center"/>
          </w:tcPr>
          <w:p w14:paraId="022079BD" w14:textId="77777777" w:rsidR="00FA6319" w:rsidRPr="004C28BD" w:rsidRDefault="00FA6319" w:rsidP="00A74524">
            <w:pPr>
              <w:spacing w:line="276" w:lineRule="auto"/>
              <w:jc w:val="center"/>
              <w:rPr>
                <w:rFonts w:ascii="Arial" w:hAnsi="Arial" w:cs="Arial"/>
                <w:b/>
                <w:bCs/>
                <w:i w:val="0"/>
                <w:iCs w:val="0"/>
                <w:sz w:val="22"/>
                <w:szCs w:val="22"/>
                <w:lang w:val="en-US"/>
              </w:rPr>
            </w:pPr>
            <w:r w:rsidRPr="004C28BD">
              <w:rPr>
                <w:rFonts w:ascii="Arial" w:hAnsi="Arial" w:cs="Arial"/>
                <w:b/>
                <w:bCs/>
                <w:i w:val="0"/>
                <w:iCs w:val="0"/>
                <w:sz w:val="22"/>
                <w:szCs w:val="22"/>
                <w:lang w:val="en-US"/>
              </w:rPr>
              <w:t>Sensitivity</w:t>
            </w:r>
          </w:p>
        </w:tc>
        <w:tc>
          <w:tcPr>
            <w:tcW w:w="2326" w:type="dxa"/>
            <w:tcBorders>
              <w:top w:val="single" w:sz="4" w:space="0" w:color="auto"/>
            </w:tcBorders>
            <w:shd w:val="clear" w:color="auto" w:fill="auto"/>
            <w:vAlign w:val="center"/>
          </w:tcPr>
          <w:p w14:paraId="32EAFE22" w14:textId="77777777" w:rsidR="00FA6319" w:rsidRPr="004C28BD" w:rsidRDefault="00FA6319" w:rsidP="00A74524">
            <w:pPr>
              <w:spacing w:line="276" w:lineRule="auto"/>
              <w:jc w:val="center"/>
              <w:rPr>
                <w:rFonts w:ascii="Arial" w:eastAsiaTheme="minorHAnsi" w:hAnsi="Arial" w:cs="Arial"/>
                <w:b/>
                <w:bCs/>
                <w:i w:val="0"/>
                <w:iCs w:val="0"/>
                <w:sz w:val="22"/>
                <w:szCs w:val="22"/>
                <w:lang w:val="en-US"/>
              </w:rPr>
            </w:pPr>
            <w:r w:rsidRPr="004C28BD">
              <w:rPr>
                <w:rFonts w:ascii="Arial" w:eastAsiaTheme="minorHAnsi" w:hAnsi="Arial" w:cs="Arial"/>
                <w:b/>
                <w:bCs/>
                <w:i w:val="0"/>
                <w:iCs w:val="0"/>
                <w:sz w:val="22"/>
                <w:szCs w:val="22"/>
                <w:lang w:val="en-US"/>
              </w:rPr>
              <w:t>Reference</w:t>
            </w:r>
          </w:p>
        </w:tc>
      </w:tr>
      <w:tr w:rsidR="00FA6319" w:rsidRPr="004C28BD" w14:paraId="1C214B20" w14:textId="77777777" w:rsidTr="00A74524">
        <w:trPr>
          <w:cnfStyle w:val="000000100000" w:firstRow="0" w:lastRow="0" w:firstColumn="0" w:lastColumn="0" w:oddVBand="0" w:evenVBand="0" w:oddHBand="1" w:evenHBand="0" w:firstRowFirstColumn="0" w:firstRowLastColumn="0" w:lastRowFirstColumn="0" w:lastRowLastColumn="0"/>
          <w:trHeight w:val="406"/>
        </w:trPr>
        <w:tc>
          <w:tcPr>
            <w:tcW w:w="1738" w:type="dxa"/>
            <w:shd w:val="clear" w:color="auto" w:fill="auto"/>
            <w:noWrap/>
            <w:vAlign w:val="center"/>
            <w:hideMark/>
          </w:tcPr>
          <w:p w14:paraId="14DA34FD" w14:textId="77777777" w:rsidR="00FA6319" w:rsidRPr="004C28BD" w:rsidRDefault="00FA6319" w:rsidP="00A74524">
            <w:pPr>
              <w:spacing w:line="276" w:lineRule="auto"/>
              <w:jc w:val="center"/>
              <w:rPr>
                <w:rFonts w:ascii="Arial" w:hAnsi="Arial" w:cs="Arial"/>
                <w:i/>
                <w:iCs/>
                <w:sz w:val="22"/>
                <w:szCs w:val="22"/>
                <w:lang w:val="en-US"/>
              </w:rPr>
            </w:pPr>
            <w:r w:rsidRPr="004C28BD">
              <w:rPr>
                <w:rFonts w:ascii="Arial" w:hAnsi="Arial" w:cs="Arial"/>
                <w:i/>
                <w:iCs/>
                <w:sz w:val="22"/>
                <w:szCs w:val="22"/>
                <w:lang w:val="en-US"/>
              </w:rPr>
              <w:t>Convexity</w:t>
            </w:r>
          </w:p>
        </w:tc>
        <w:tc>
          <w:tcPr>
            <w:tcW w:w="2897" w:type="dxa"/>
            <w:shd w:val="clear" w:color="auto" w:fill="auto"/>
            <w:vAlign w:val="center"/>
          </w:tcPr>
          <w:p w14:paraId="122F7BB2" w14:textId="77777777" w:rsidR="00FA6319" w:rsidRPr="004C28BD" w:rsidRDefault="00000000" w:rsidP="00A74524">
            <w:pPr>
              <w:spacing w:line="276" w:lineRule="auto"/>
              <w:jc w:val="center"/>
              <w:rPr>
                <w:rFonts w:ascii="Arial" w:hAnsi="Arial" w:cs="Arial"/>
                <w:sz w:val="22"/>
                <w:szCs w:val="22"/>
                <w:lang w:val="en-US"/>
              </w:rPr>
            </w:pPr>
            <m:oMathPara>
              <m:oMath>
                <m:sSub>
                  <m:sSubPr>
                    <m:ctrlPr>
                      <w:rPr>
                        <w:rFonts w:ascii="Cambria Math" w:hAnsi="Cambria Math" w:cs="Arial"/>
                        <w:i/>
                        <w:sz w:val="22"/>
                        <w:szCs w:val="22"/>
                        <w:lang w:val="en-US"/>
                      </w:rPr>
                    </m:ctrlPr>
                  </m:sSubPr>
                  <m:e>
                    <m:r>
                      <w:rPr>
                        <w:rFonts w:ascii="Cambria Math" w:hAnsi="Cambria Math" w:cs="Arial"/>
                        <w:sz w:val="22"/>
                        <w:szCs w:val="22"/>
                        <w:lang w:val="en-US"/>
                      </w:rPr>
                      <m:t>P</m:t>
                    </m:r>
                  </m:e>
                  <m:sub>
                    <m:r>
                      <w:rPr>
                        <w:rFonts w:ascii="Cambria Math" w:hAnsi="Cambria Math" w:cs="Arial"/>
                        <w:sz w:val="22"/>
                        <w:szCs w:val="22"/>
                        <w:lang w:val="en-US"/>
                      </w:rPr>
                      <m:t>h</m:t>
                    </m:r>
                  </m:sub>
                </m:sSub>
                <m:r>
                  <w:rPr>
                    <w:rFonts w:ascii="Cambria Math" w:hAnsi="Cambria Math" w:cs="Arial"/>
                    <w:sz w:val="22"/>
                    <w:szCs w:val="22"/>
                    <w:lang w:val="en-US"/>
                  </w:rPr>
                  <m:t>/</m:t>
                </m:r>
                <m:sSub>
                  <m:sSubPr>
                    <m:ctrlPr>
                      <w:rPr>
                        <w:rFonts w:ascii="Cambria Math" w:hAnsi="Cambria Math" w:cs="Arial"/>
                        <w:i/>
                        <w:sz w:val="22"/>
                        <w:szCs w:val="22"/>
                        <w:lang w:val="en-US"/>
                      </w:rPr>
                    </m:ctrlPr>
                  </m:sSubPr>
                  <m:e>
                    <m:r>
                      <w:rPr>
                        <w:rFonts w:ascii="Cambria Math" w:hAnsi="Cambria Math" w:cs="Arial"/>
                        <w:sz w:val="22"/>
                        <w:szCs w:val="22"/>
                        <w:lang w:val="en-US"/>
                      </w:rPr>
                      <m:t>P</m:t>
                    </m:r>
                  </m:e>
                  <m:sub>
                    <m:r>
                      <w:rPr>
                        <w:rFonts w:ascii="Cambria Math" w:hAnsi="Cambria Math" w:cs="Arial"/>
                        <w:sz w:val="22"/>
                        <w:szCs w:val="22"/>
                        <w:lang w:val="en-US"/>
                      </w:rPr>
                      <m:t>p</m:t>
                    </m:r>
                  </m:sub>
                </m:sSub>
              </m:oMath>
            </m:oMathPara>
          </w:p>
        </w:tc>
        <w:tc>
          <w:tcPr>
            <w:tcW w:w="2326" w:type="dxa"/>
            <w:shd w:val="clear" w:color="auto" w:fill="auto"/>
            <w:vAlign w:val="center"/>
          </w:tcPr>
          <w:p w14:paraId="42A90E77"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t>Fine-scale roughness</w:t>
            </w:r>
          </w:p>
        </w:tc>
        <w:tc>
          <w:tcPr>
            <w:tcW w:w="2326" w:type="dxa"/>
            <w:shd w:val="clear" w:color="auto" w:fill="auto"/>
            <w:vAlign w:val="center"/>
          </w:tcPr>
          <w:p w14:paraId="6A9CCAE9"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fldChar w:fldCharType="begin" w:fldLock="1"/>
            </w:r>
            <w:r w:rsidR="00B64B6D">
              <w:rPr>
                <w:rFonts w:ascii="Arial" w:hAnsi="Arial" w:cs="Arial"/>
                <w:sz w:val="22"/>
                <w:szCs w:val="22"/>
                <w:lang w:val="en-US"/>
              </w:rPr>
              <w:instrText xml:space="preserve"> ADDIN ZOTERO_ITEM CSL_CITATION {"citationID":"13o4QpgK","properties":{"formattedCitation":"(Liu et al., 2015)","plainCitation":"(Liu et al., 2015)","noteIndex":0},"citationItems":[{"id":1398,"uris":["http://www.mendeley.com/documents/?uuid=aecfaf95-16c0-456d-9f07-088762d8d89b","http://zotero.org/users/15080891/items/NRNJE9UT"],"itemData":{"id":1398,"type":"article-journal","abstract":"Accurate measurements of volcanic ash morphology are critical to improving both our understanding of fragmentation processes and our ability to predict particle behaviour. In this study, we present new ways to choose and apply shape parameters relevant to volcanic ash characterisation. First, we compare shape measurements from different imaging techniques, including cross-sectional (2-D) and projected area images, and discuss their respective applications. We then focus on specific information that can be obtained from shape analysis of 2-D images. Using cluster analysis as an unbiased method to identify key controls on particle morphology, we find that four shape parameters - solidity, convexity, axial ratio, and form factor - can effectively account for the morphological variance within most ash samples. Importantly, these parameters are scaled to values between 0 and 1, and therefore contribute evenly to discrimination diagrams. In particular, co-variation in convexity and solidity can be used to distinguish different juvenile ash components based on characteristic bubble properties. By reducing observations of natural samples to simplified ash geometries, we quantify morphological changes associated with variations in the relative size and shape of bubbles and particles. Using this relationship, we assess the potential application of size-dependent shape analysis for inferring the underlying bubble size distribution, and thus the pre-fragmentation conditions. Finally, we show that particle shape analysis that includes the full range of available grain sizes can contribute not only measurements of particle size and shape, but also information on size-dependent densities.","container-title":"GeoResJ","DOI":"10.1016/j.grj.2015.09.001","ISSN":"22142428","note":"ISBN: 2214-2428","page":"14-30","publisher":"Elsevier Ltd","title":"Optimising shape analysis to quantify volcanic ash morphology","volume":"8","author":[{"family":"Liu","given":"E. J."},{"family":"Cashman","given":"K. V."},{"family":"Rust","given":"A. C."}],"issued":{"date-parts":[["2015"]]}}}],"schema":"https://github.com/citation-style-language/schema/raw/master/csl-citation.json"} </w:instrText>
            </w:r>
            <w:r w:rsidRPr="004C28BD">
              <w:rPr>
                <w:rFonts w:ascii="Arial" w:hAnsi="Arial" w:cs="Arial"/>
                <w:sz w:val="22"/>
                <w:szCs w:val="22"/>
                <w:lang w:val="en-US"/>
              </w:rPr>
              <w:fldChar w:fldCharType="separate"/>
            </w:r>
            <w:r w:rsidR="00B64B6D">
              <w:rPr>
                <w:rFonts w:ascii="Arial" w:hAnsi="Arial" w:cs="Arial"/>
                <w:noProof/>
                <w:sz w:val="22"/>
                <w:szCs w:val="22"/>
                <w:lang w:val="en-US"/>
              </w:rPr>
              <w:t>(Liu et al., 2015)</w:t>
            </w:r>
            <w:r w:rsidRPr="004C28BD">
              <w:rPr>
                <w:rFonts w:ascii="Arial" w:hAnsi="Arial" w:cs="Arial"/>
                <w:sz w:val="22"/>
                <w:szCs w:val="22"/>
                <w:lang w:val="en-US"/>
              </w:rPr>
              <w:fldChar w:fldCharType="end"/>
            </w:r>
          </w:p>
        </w:tc>
      </w:tr>
      <w:tr w:rsidR="00FA6319" w:rsidRPr="004C28BD" w14:paraId="2FED730D" w14:textId="77777777" w:rsidTr="00A74524">
        <w:trPr>
          <w:trHeight w:val="592"/>
        </w:trPr>
        <w:tc>
          <w:tcPr>
            <w:tcW w:w="1738" w:type="dxa"/>
            <w:noWrap/>
            <w:vAlign w:val="center"/>
            <w:hideMark/>
          </w:tcPr>
          <w:p w14:paraId="444BD57A" w14:textId="77777777" w:rsidR="00FA6319" w:rsidRPr="004C28BD" w:rsidRDefault="00FA6319" w:rsidP="00A74524">
            <w:pPr>
              <w:spacing w:line="276" w:lineRule="auto"/>
              <w:jc w:val="center"/>
              <w:rPr>
                <w:rFonts w:ascii="Arial" w:hAnsi="Arial" w:cs="Arial"/>
                <w:i/>
                <w:iCs/>
                <w:sz w:val="22"/>
                <w:szCs w:val="22"/>
                <w:lang w:val="en-US"/>
              </w:rPr>
            </w:pPr>
            <w:r w:rsidRPr="004C28BD">
              <w:rPr>
                <w:rFonts w:ascii="Arial" w:hAnsi="Arial" w:cs="Arial"/>
                <w:i/>
                <w:iCs/>
                <w:sz w:val="22"/>
                <w:szCs w:val="22"/>
                <w:lang w:val="en-US"/>
              </w:rPr>
              <w:t>Rectangularity</w:t>
            </w:r>
          </w:p>
        </w:tc>
        <w:tc>
          <w:tcPr>
            <w:tcW w:w="2897" w:type="dxa"/>
            <w:vAlign w:val="center"/>
          </w:tcPr>
          <w:p w14:paraId="2C4994C5" w14:textId="77777777" w:rsidR="00FA6319" w:rsidRPr="004C28BD" w:rsidRDefault="00000000" w:rsidP="00A74524">
            <w:pPr>
              <w:spacing w:line="276" w:lineRule="auto"/>
              <w:jc w:val="center"/>
              <w:rPr>
                <w:rFonts w:ascii="Arial" w:hAnsi="Arial" w:cs="Arial"/>
                <w:sz w:val="22"/>
                <w:szCs w:val="22"/>
                <w:lang w:val="en-US"/>
              </w:rPr>
            </w:pPr>
            <m:oMathPara>
              <m:oMath>
                <m:box>
                  <m:boxPr>
                    <m:ctrlPr>
                      <w:rPr>
                        <w:rFonts w:ascii="Cambria Math" w:hAnsi="Cambria Math" w:cs="Arial"/>
                        <w:i/>
                        <w:sz w:val="22"/>
                        <w:szCs w:val="22"/>
                        <w:lang w:val="en-US"/>
                      </w:rPr>
                    </m:ctrlPr>
                  </m:boxPr>
                  <m:e>
                    <m:argPr>
                      <m:argSz m:val="-1"/>
                    </m:argPr>
                    <m:f>
                      <m:fPr>
                        <m:ctrlPr>
                          <w:rPr>
                            <w:rFonts w:ascii="Cambria Math" w:hAnsi="Cambria Math" w:cs="Arial"/>
                            <w:i/>
                            <w:sz w:val="22"/>
                            <w:szCs w:val="22"/>
                            <w:lang w:val="en-US"/>
                          </w:rPr>
                        </m:ctrlPr>
                      </m:fPr>
                      <m:num>
                        <m:sSub>
                          <m:sSubPr>
                            <m:ctrlPr>
                              <w:rPr>
                                <w:rFonts w:ascii="Cambria Math" w:hAnsi="Cambria Math" w:cs="Arial"/>
                                <w:i/>
                                <w:sz w:val="22"/>
                                <w:szCs w:val="22"/>
                                <w:lang w:val="en-US"/>
                              </w:rPr>
                            </m:ctrlPr>
                          </m:sSubPr>
                          <m:e>
                            <m:r>
                              <w:rPr>
                                <w:rFonts w:ascii="Cambria Math" w:hAnsi="Cambria Math" w:cs="Arial"/>
                                <w:sz w:val="22"/>
                                <w:szCs w:val="22"/>
                                <w:lang w:val="en-US"/>
                              </w:rPr>
                              <m:t>P</m:t>
                            </m:r>
                          </m:e>
                          <m:sub>
                            <m:r>
                              <w:rPr>
                                <w:rFonts w:ascii="Cambria Math" w:hAnsi="Cambria Math" w:cs="Arial"/>
                                <w:sz w:val="22"/>
                                <w:szCs w:val="22"/>
                                <w:lang w:val="en-US"/>
                              </w:rPr>
                              <m:t>p</m:t>
                            </m:r>
                          </m:sub>
                        </m:sSub>
                      </m:num>
                      <m:den>
                        <m:r>
                          <w:rPr>
                            <w:rFonts w:ascii="Cambria Math" w:hAnsi="Cambria Math" w:cs="Arial"/>
                            <w:sz w:val="22"/>
                            <w:szCs w:val="22"/>
                            <w:lang w:val="en-US"/>
                          </w:rPr>
                          <m:t>2H+2W</m:t>
                        </m:r>
                      </m:den>
                    </m:f>
                  </m:e>
                </m:box>
              </m:oMath>
            </m:oMathPara>
          </w:p>
        </w:tc>
        <w:tc>
          <w:tcPr>
            <w:tcW w:w="2326" w:type="dxa"/>
            <w:vAlign w:val="center"/>
          </w:tcPr>
          <w:p w14:paraId="1DDD0F2D"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t>Fine-scale roughness</w:t>
            </w:r>
          </w:p>
        </w:tc>
        <w:tc>
          <w:tcPr>
            <w:tcW w:w="2326" w:type="dxa"/>
            <w:vAlign w:val="center"/>
          </w:tcPr>
          <w:p w14:paraId="449C015F"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fldChar w:fldCharType="begin" w:fldLock="1"/>
            </w:r>
            <w:r w:rsidR="00B64B6D">
              <w:rPr>
                <w:rFonts w:ascii="Arial" w:hAnsi="Arial" w:cs="Arial"/>
                <w:sz w:val="22"/>
                <w:szCs w:val="22"/>
                <w:lang w:val="en-US"/>
              </w:rPr>
              <w:instrText xml:space="preserve"> ADDIN ZOTERO_ITEM CSL_CITATION {"citationID":"OIl71iXS","properties":{"formattedCitation":"(Dellino &amp; La Volpe, 1996)","plainCitation":"(Dellino &amp; La Volpe, 1996)","noteIndex":0},"citationItems":[{"id":1356,"uris":["http://www.mendeley.com/documents/?uuid=5f4433ae-6789-4884-bc19-c58ea110b11c","http://zotero.org/users/15080891/items/WJKYPQID"],"itemData":{"id":1356,"type":"article-journal","abstract":"A quantitative study of particle morphology of samples from Monte Pilato-Rocche Rosse deposits, Lipari (Aeolian islands, Italy) shows a significant variability in particle structure and texture. The study consisted of image processing techniques and multivariate statistical methods in analysis of the quantitative particle morphology data, with the goal of identifying the genetic processes responsible for the formation of the deposits. From these investigations we numerically define the form of the clasts, thus avoiding subjectivity in the classification of clast morphology. Starting from this clast definition, we then construct diagrams in which clasts due to different genetic processes (i.e., magmatic vs. hydromagmatic fragmentation), are discriminated based on simple nondimensional parameters. The application of the methods used seems to be of general interest in discriminating the fragmentation and transportation dynamics responsible for the formation of pyroclastic deposits.","container-title":"Journal of Volcanology and Geothermal Research","DOI":"10.1016/0377-0273(95)00062-3","ISSN":"03770273","issue":"1","note":"ISBN: 0377-0273","page":"13-29","title":"Image processing analysis in reconstructing fragmentation and transportation mechanisms of pyroclastic deposits. The case of Monte Pilato-Rocche Rosse eruptions, Lipari ( Aeolian islands, Italy)","volume":"71","author":[{"family":"Dellino","given":"P."},{"family":"La Volpe","given":"L."}],"issued":{"date-parts":[["1996"]]}}}],"schema":"https://github.com/citation-style-language/schema/raw/master/csl-citation.json"} </w:instrText>
            </w:r>
            <w:r w:rsidRPr="004C28BD">
              <w:rPr>
                <w:rFonts w:ascii="Arial" w:hAnsi="Arial" w:cs="Arial"/>
                <w:sz w:val="22"/>
                <w:szCs w:val="22"/>
                <w:lang w:val="en-US"/>
              </w:rPr>
              <w:fldChar w:fldCharType="separate"/>
            </w:r>
            <w:r w:rsidR="00B64B6D">
              <w:rPr>
                <w:rFonts w:ascii="Arial" w:hAnsi="Arial" w:cs="Arial"/>
                <w:noProof/>
                <w:sz w:val="22"/>
                <w:szCs w:val="22"/>
                <w:lang w:val="en-US"/>
              </w:rPr>
              <w:t>(Dellino &amp; La Volpe, 1996)</w:t>
            </w:r>
            <w:r w:rsidRPr="004C28BD">
              <w:rPr>
                <w:rFonts w:ascii="Arial" w:hAnsi="Arial" w:cs="Arial"/>
                <w:sz w:val="22"/>
                <w:szCs w:val="22"/>
                <w:lang w:val="en-US"/>
              </w:rPr>
              <w:fldChar w:fldCharType="end"/>
            </w:r>
          </w:p>
        </w:tc>
      </w:tr>
      <w:tr w:rsidR="00FA6319" w:rsidRPr="004C28BD" w14:paraId="3C78CBB3" w14:textId="77777777" w:rsidTr="00A74524">
        <w:trPr>
          <w:cnfStyle w:val="000000100000" w:firstRow="0" w:lastRow="0" w:firstColumn="0" w:lastColumn="0" w:oddVBand="0" w:evenVBand="0" w:oddHBand="1" w:evenHBand="0" w:firstRowFirstColumn="0" w:firstRowLastColumn="0" w:lastRowFirstColumn="0" w:lastRowLastColumn="0"/>
          <w:trHeight w:val="592"/>
        </w:trPr>
        <w:tc>
          <w:tcPr>
            <w:tcW w:w="1738" w:type="dxa"/>
            <w:shd w:val="clear" w:color="auto" w:fill="auto"/>
            <w:noWrap/>
            <w:vAlign w:val="center"/>
          </w:tcPr>
          <w:p w14:paraId="436395E2" w14:textId="77777777" w:rsidR="00FA6319" w:rsidRPr="004C28BD" w:rsidRDefault="00FA6319" w:rsidP="00A74524">
            <w:pPr>
              <w:spacing w:line="276" w:lineRule="auto"/>
              <w:jc w:val="center"/>
              <w:rPr>
                <w:rFonts w:ascii="Arial" w:hAnsi="Arial" w:cs="Arial"/>
                <w:i/>
                <w:iCs/>
                <w:sz w:val="22"/>
                <w:szCs w:val="22"/>
                <w:lang w:val="en-US"/>
              </w:rPr>
            </w:pPr>
            <w:proofErr w:type="spellStart"/>
            <w:r w:rsidRPr="004C28BD">
              <w:rPr>
                <w:rFonts w:ascii="Arial" w:hAnsi="Arial" w:cs="Arial"/>
                <w:i/>
                <w:iCs/>
                <w:sz w:val="22"/>
                <w:szCs w:val="22"/>
                <w:lang w:val="en-US"/>
              </w:rPr>
              <w:t>Circ_Dellino</w:t>
            </w:r>
            <w:proofErr w:type="spellEnd"/>
          </w:p>
        </w:tc>
        <w:tc>
          <w:tcPr>
            <w:tcW w:w="2897" w:type="dxa"/>
            <w:shd w:val="clear" w:color="auto" w:fill="auto"/>
            <w:vAlign w:val="center"/>
          </w:tcPr>
          <w:p w14:paraId="5E79E8F9" w14:textId="77777777" w:rsidR="00FA6319" w:rsidRPr="004C28BD" w:rsidRDefault="00000000" w:rsidP="00A74524">
            <w:pPr>
              <w:spacing w:line="276" w:lineRule="auto"/>
              <w:jc w:val="center"/>
              <w:rPr>
                <w:rFonts w:ascii="Arial" w:eastAsia="Calibri" w:hAnsi="Arial" w:cs="Arial"/>
                <w:i/>
                <w:sz w:val="22"/>
                <w:szCs w:val="22"/>
                <w:lang w:val="en-US"/>
              </w:rPr>
            </w:pPr>
            <m:oMathPara>
              <m:oMath>
                <m:f>
                  <m:fPr>
                    <m:ctrlPr>
                      <w:rPr>
                        <w:rFonts w:ascii="Cambria Math" w:hAnsi="Cambria Math" w:cs="Arial"/>
                        <w:i/>
                        <w:sz w:val="22"/>
                        <w:szCs w:val="22"/>
                        <w:lang w:val="en-US"/>
                      </w:rPr>
                    </m:ctrlPr>
                  </m:fPr>
                  <m:num>
                    <m:sSub>
                      <m:sSubPr>
                        <m:ctrlPr>
                          <w:rPr>
                            <w:rFonts w:ascii="Cambria Math" w:hAnsi="Cambria Math" w:cs="Arial"/>
                            <w:i/>
                            <w:sz w:val="22"/>
                            <w:szCs w:val="22"/>
                            <w:lang w:val="en-US"/>
                          </w:rPr>
                        </m:ctrlPr>
                      </m:sSubPr>
                      <m:e>
                        <m:r>
                          <w:rPr>
                            <w:rFonts w:ascii="Cambria Math" w:hAnsi="Cambria Math" w:cs="Arial"/>
                            <w:sz w:val="22"/>
                            <w:szCs w:val="22"/>
                            <w:lang w:val="en-US"/>
                          </w:rPr>
                          <m:t>P</m:t>
                        </m:r>
                      </m:e>
                      <m:sub>
                        <m:r>
                          <w:rPr>
                            <w:rFonts w:ascii="Cambria Math" w:hAnsi="Cambria Math" w:cs="Arial"/>
                            <w:sz w:val="22"/>
                            <w:szCs w:val="22"/>
                            <w:lang w:val="en-US"/>
                          </w:rPr>
                          <m:t>p</m:t>
                        </m:r>
                      </m:sub>
                    </m:sSub>
                  </m:num>
                  <m:den>
                    <m:r>
                      <w:rPr>
                        <w:rFonts w:ascii="Cambria Math" w:hAnsi="Cambria Math" w:cs="Arial"/>
                        <w:sz w:val="22"/>
                        <w:szCs w:val="22"/>
                        <w:lang w:val="en-US"/>
                      </w:rPr>
                      <m:t>2</m:t>
                    </m:r>
                    <m:rad>
                      <m:radPr>
                        <m:degHide m:val="1"/>
                        <m:ctrlPr>
                          <w:rPr>
                            <w:rFonts w:ascii="Cambria Math" w:hAnsi="Cambria Math" w:cs="Arial"/>
                            <w:i/>
                            <w:sz w:val="22"/>
                            <w:szCs w:val="22"/>
                            <w:lang w:val="en-US"/>
                          </w:rPr>
                        </m:ctrlPr>
                      </m:radPr>
                      <m:deg/>
                      <m:e>
                        <m:r>
                          <w:rPr>
                            <w:rFonts w:ascii="Cambria Math" w:hAnsi="Cambria Math" w:cs="Arial"/>
                            <w:sz w:val="22"/>
                            <w:szCs w:val="22"/>
                            <w:lang w:val="en-US"/>
                          </w:rPr>
                          <m:t>π</m:t>
                        </m:r>
                        <m:sSub>
                          <m:sSubPr>
                            <m:ctrlPr>
                              <w:rPr>
                                <w:rFonts w:ascii="Cambria Math" w:hAnsi="Cambria Math" w:cs="Arial"/>
                                <w:i/>
                                <w:sz w:val="22"/>
                                <w:szCs w:val="22"/>
                                <w:lang w:val="en-US"/>
                              </w:rPr>
                            </m:ctrlPr>
                          </m:sSubPr>
                          <m:e>
                            <m:r>
                              <w:rPr>
                                <w:rFonts w:ascii="Cambria Math" w:hAnsi="Cambria Math" w:cs="Arial"/>
                                <w:sz w:val="22"/>
                                <w:szCs w:val="22"/>
                                <w:lang w:val="en-US"/>
                              </w:rPr>
                              <m:t>A</m:t>
                            </m:r>
                          </m:e>
                          <m:sub>
                            <m:r>
                              <w:rPr>
                                <w:rFonts w:ascii="Cambria Math" w:hAnsi="Cambria Math" w:cs="Arial"/>
                                <w:sz w:val="22"/>
                                <w:szCs w:val="22"/>
                                <w:lang w:val="en-US"/>
                              </w:rPr>
                              <m:t>p</m:t>
                            </m:r>
                          </m:sub>
                        </m:sSub>
                      </m:e>
                    </m:rad>
                  </m:den>
                </m:f>
              </m:oMath>
            </m:oMathPara>
          </w:p>
        </w:tc>
        <w:tc>
          <w:tcPr>
            <w:tcW w:w="2326" w:type="dxa"/>
            <w:shd w:val="clear" w:color="auto" w:fill="auto"/>
            <w:vAlign w:val="center"/>
          </w:tcPr>
          <w:p w14:paraId="05EB8B8D"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t xml:space="preserve">Fine-scale roughness and form </w:t>
            </w:r>
          </w:p>
        </w:tc>
        <w:tc>
          <w:tcPr>
            <w:tcW w:w="2326" w:type="dxa"/>
            <w:shd w:val="clear" w:color="auto" w:fill="auto"/>
            <w:vAlign w:val="center"/>
          </w:tcPr>
          <w:p w14:paraId="385553B3"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fldChar w:fldCharType="begin" w:fldLock="1"/>
            </w:r>
            <w:r w:rsidR="00B64B6D">
              <w:rPr>
                <w:rFonts w:ascii="Arial" w:hAnsi="Arial" w:cs="Arial"/>
                <w:sz w:val="22"/>
                <w:szCs w:val="22"/>
                <w:lang w:val="en-US"/>
              </w:rPr>
              <w:instrText xml:space="preserve"> ADDIN ZOTERO_ITEM CSL_CITATION {"citationID":"ORNd6hLK","properties":{"formattedCitation":"(Dellino &amp; La Volpe, 1996)","plainCitation":"(Dellino &amp; La Volpe, 1996)","noteIndex":0},"citationItems":[{"id":1356,"uris":["http://www.mendeley.com/documents/?uuid=5f4433ae-6789-4884-bc19-c58ea110b11c","http://zotero.org/users/15080891/items/WJKYPQID"],"itemData":{"id":1356,"type":"article-journal","abstract":"A quantitative study of particle morphology of samples from Monte Pilato-Rocche Rosse deposits, Lipari (Aeolian islands, Italy) shows a significant variability in particle structure and texture. The study consisted of image processing techniques and multivariate statistical methods in analysis of the quantitative particle morphology data, with the goal of identifying the genetic processes responsible for the formation of the deposits. From these investigations we numerically define the form of the clasts, thus avoiding subjectivity in the classification of clast morphology. Starting from this clast definition, we then construct diagrams in which clasts due to different genetic processes (i.e., magmatic vs. hydromagmatic fragmentation), are discriminated based on simple nondimensional parameters. The application of the methods used seems to be of general interest in discriminating the fragmentation and transportation dynamics responsible for the formation of pyroclastic deposits.","container-title":"Journal of Volcanology and Geothermal Research","DOI":"10.1016/0377-0273(95)00062-3","ISSN":"03770273","issue":"1","note":"ISBN: 0377-0273","page":"13-29","title":"Image processing analysis in reconstructing fragmentation and transportation mechanisms of pyroclastic deposits. The case of Monte Pilato-Rocche Rosse eruptions, Lipari ( Aeolian islands, Italy)","volume":"71","author":[{"family":"Dellino","given":"P."},{"family":"La Volpe","given":"L."}],"issued":{"date-parts":[["1996"]]}}}],"schema":"https://github.com/citation-style-language/schema/raw/master/csl-citation.json"} </w:instrText>
            </w:r>
            <w:r w:rsidRPr="004C28BD">
              <w:rPr>
                <w:rFonts w:ascii="Arial" w:hAnsi="Arial" w:cs="Arial"/>
                <w:sz w:val="22"/>
                <w:szCs w:val="22"/>
                <w:lang w:val="en-US"/>
              </w:rPr>
              <w:fldChar w:fldCharType="separate"/>
            </w:r>
            <w:r w:rsidR="00B64B6D">
              <w:rPr>
                <w:rFonts w:ascii="Arial" w:hAnsi="Arial" w:cs="Arial"/>
                <w:noProof/>
                <w:sz w:val="22"/>
                <w:szCs w:val="22"/>
                <w:lang w:val="en-US"/>
              </w:rPr>
              <w:t>(Dellino &amp; La Volpe, 1996)</w:t>
            </w:r>
            <w:r w:rsidRPr="004C28BD">
              <w:rPr>
                <w:rFonts w:ascii="Arial" w:hAnsi="Arial" w:cs="Arial"/>
                <w:sz w:val="22"/>
                <w:szCs w:val="22"/>
                <w:lang w:val="en-US"/>
              </w:rPr>
              <w:fldChar w:fldCharType="end"/>
            </w:r>
          </w:p>
        </w:tc>
      </w:tr>
      <w:tr w:rsidR="00FA6319" w:rsidRPr="004C28BD" w14:paraId="16E66525" w14:textId="77777777" w:rsidTr="00A74524">
        <w:trPr>
          <w:trHeight w:val="592"/>
        </w:trPr>
        <w:tc>
          <w:tcPr>
            <w:tcW w:w="1738" w:type="dxa"/>
            <w:noWrap/>
            <w:vAlign w:val="center"/>
          </w:tcPr>
          <w:p w14:paraId="012B6B6C" w14:textId="77777777" w:rsidR="00FA6319" w:rsidRPr="004C28BD" w:rsidRDefault="00FA6319" w:rsidP="00A74524">
            <w:pPr>
              <w:spacing w:line="276" w:lineRule="auto"/>
              <w:jc w:val="center"/>
              <w:rPr>
                <w:rFonts w:ascii="Arial" w:hAnsi="Arial" w:cs="Arial"/>
                <w:i/>
                <w:iCs/>
                <w:sz w:val="22"/>
                <w:szCs w:val="22"/>
                <w:lang w:val="en-US"/>
              </w:rPr>
            </w:pPr>
            <w:proofErr w:type="spellStart"/>
            <w:r w:rsidRPr="004C28BD">
              <w:rPr>
                <w:rFonts w:ascii="Arial" w:hAnsi="Arial" w:cs="Arial"/>
                <w:i/>
                <w:iCs/>
                <w:sz w:val="22"/>
                <w:szCs w:val="22"/>
                <w:lang w:val="en-US"/>
              </w:rPr>
              <w:t>Circ_Cioni</w:t>
            </w:r>
            <w:proofErr w:type="spellEnd"/>
          </w:p>
        </w:tc>
        <w:tc>
          <w:tcPr>
            <w:tcW w:w="2897" w:type="dxa"/>
            <w:vAlign w:val="center"/>
          </w:tcPr>
          <w:p w14:paraId="79C4B618" w14:textId="77777777" w:rsidR="00FA6319" w:rsidRPr="004C28BD" w:rsidRDefault="00000000" w:rsidP="00A74524">
            <w:pPr>
              <w:spacing w:line="276" w:lineRule="auto"/>
              <w:jc w:val="center"/>
              <w:rPr>
                <w:rFonts w:ascii="Arial" w:eastAsia="Calibri" w:hAnsi="Arial" w:cs="Arial"/>
                <w:i/>
                <w:sz w:val="22"/>
                <w:szCs w:val="22"/>
                <w:lang w:val="en-US"/>
              </w:rPr>
            </w:pPr>
            <m:oMathPara>
              <m:oMath>
                <m:f>
                  <m:fPr>
                    <m:ctrlPr>
                      <w:rPr>
                        <w:rFonts w:ascii="Cambria Math" w:hAnsi="Cambria Math" w:cs="Arial"/>
                        <w:i/>
                        <w:sz w:val="22"/>
                        <w:szCs w:val="22"/>
                        <w:lang w:val="en-US"/>
                      </w:rPr>
                    </m:ctrlPr>
                  </m:fPr>
                  <m:num>
                    <m:r>
                      <w:rPr>
                        <w:rFonts w:ascii="Cambria Math" w:hAnsi="Cambria Math" w:cs="Arial"/>
                        <w:sz w:val="22"/>
                        <w:szCs w:val="22"/>
                        <w:lang w:val="en-US"/>
                      </w:rPr>
                      <m:t>4π</m:t>
                    </m:r>
                    <m:sSub>
                      <m:sSubPr>
                        <m:ctrlPr>
                          <w:rPr>
                            <w:rFonts w:ascii="Cambria Math" w:hAnsi="Cambria Math" w:cs="Arial"/>
                            <w:i/>
                            <w:sz w:val="22"/>
                            <w:szCs w:val="22"/>
                            <w:lang w:val="en-US"/>
                          </w:rPr>
                        </m:ctrlPr>
                      </m:sSubPr>
                      <m:e>
                        <m:r>
                          <w:rPr>
                            <w:rFonts w:ascii="Cambria Math" w:hAnsi="Cambria Math" w:cs="Arial"/>
                            <w:sz w:val="22"/>
                            <w:szCs w:val="22"/>
                            <w:lang w:val="en-US"/>
                          </w:rPr>
                          <m:t>A</m:t>
                        </m:r>
                      </m:e>
                      <m:sub>
                        <m:r>
                          <w:rPr>
                            <w:rFonts w:ascii="Cambria Math" w:hAnsi="Cambria Math" w:cs="Arial"/>
                            <w:sz w:val="22"/>
                            <w:szCs w:val="22"/>
                            <w:lang w:val="en-US"/>
                          </w:rPr>
                          <m:t>p</m:t>
                        </m:r>
                      </m:sub>
                    </m:sSub>
                  </m:num>
                  <m:den>
                    <m:sSup>
                      <m:sSupPr>
                        <m:ctrlPr>
                          <w:rPr>
                            <w:rFonts w:ascii="Cambria Math" w:hAnsi="Cambria Math" w:cs="Arial"/>
                            <w:i/>
                            <w:sz w:val="22"/>
                            <w:szCs w:val="22"/>
                            <w:lang w:val="en-US"/>
                          </w:rPr>
                        </m:ctrlPr>
                      </m:sSupPr>
                      <m:e>
                        <m:sSub>
                          <m:sSubPr>
                            <m:ctrlPr>
                              <w:rPr>
                                <w:rFonts w:ascii="Cambria Math" w:hAnsi="Cambria Math" w:cs="Arial"/>
                                <w:i/>
                                <w:sz w:val="22"/>
                                <w:szCs w:val="22"/>
                                <w:lang w:val="en-US"/>
                              </w:rPr>
                            </m:ctrlPr>
                          </m:sSubPr>
                          <m:e>
                            <m:r>
                              <w:rPr>
                                <w:rFonts w:ascii="Cambria Math" w:hAnsi="Cambria Math" w:cs="Arial"/>
                                <w:sz w:val="22"/>
                                <w:szCs w:val="22"/>
                                <w:lang w:val="en-US"/>
                              </w:rPr>
                              <m:t>P</m:t>
                            </m:r>
                          </m:e>
                          <m:sub>
                            <m:r>
                              <w:rPr>
                                <w:rFonts w:ascii="Cambria Math" w:hAnsi="Cambria Math" w:cs="Arial"/>
                                <w:sz w:val="22"/>
                                <w:szCs w:val="22"/>
                                <w:lang w:val="en-US"/>
                              </w:rPr>
                              <m:t>p</m:t>
                            </m:r>
                          </m:sub>
                        </m:sSub>
                      </m:e>
                      <m:sup>
                        <m:r>
                          <w:rPr>
                            <w:rFonts w:ascii="Cambria Math" w:hAnsi="Cambria Math" w:cs="Arial"/>
                            <w:sz w:val="22"/>
                            <w:szCs w:val="22"/>
                            <w:lang w:val="en-US"/>
                          </w:rPr>
                          <m:t>2</m:t>
                        </m:r>
                      </m:sup>
                    </m:sSup>
                  </m:den>
                </m:f>
              </m:oMath>
            </m:oMathPara>
          </w:p>
        </w:tc>
        <w:tc>
          <w:tcPr>
            <w:tcW w:w="2326" w:type="dxa"/>
            <w:vAlign w:val="center"/>
          </w:tcPr>
          <w:p w14:paraId="0A8AA8D7"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t>Fine-scale roughness and form</w:t>
            </w:r>
          </w:p>
        </w:tc>
        <w:tc>
          <w:tcPr>
            <w:tcW w:w="2326" w:type="dxa"/>
            <w:vAlign w:val="center"/>
          </w:tcPr>
          <w:p w14:paraId="047BF156"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fldChar w:fldCharType="begin" w:fldLock="1"/>
            </w:r>
            <w:r w:rsidR="00B64B6D">
              <w:rPr>
                <w:rFonts w:ascii="Arial" w:hAnsi="Arial" w:cs="Arial"/>
                <w:sz w:val="22"/>
                <w:szCs w:val="22"/>
                <w:lang w:val="en-US"/>
              </w:rPr>
              <w:instrText xml:space="preserve"> ADDIN ZOTERO_ITEM CSL_CITATION {"citationID":"7IYxIqui","properties":{"formattedCitation":"(Cioni et al., 2014)","plainCitation":"(Cioni et al., 2014)","noteIndex":0},"citationItems":[{"id":1184,"uris":["http://www.mendeley.com/documents/?uuid=7eaed976-33c4-4448-b2fd-fd8856c3f58d","http://zotero.org/users/15080891/items/MZQZ2RN8"],"itemData":{"id":1184,"type":"article-journal","abstract":"The April-May 2010 eruption of the Eyjafjallajökull volcano (Iceland) represents an example of explosive activity dominated by prolonged, low- to mid-intensity emission of ash, as it was characterized by a continuous injection of tephra into the atmosphere that affected various economic sectors in Iceland and caused a world-wide interruption of air traffic. This eruption has become a benchmark for the understanding of the processes that govern the dynamics of ash-dominated eruptions, also representing a unique opportunity for direct ash particle investigation.In this paper, selected ash samples from all phases of the eruption were studied in order to characterize: 1) the morphology, composition and texture of ash fragments; 2) the variability of the products of each phase of the eruption; 3) the progressive changes of these features with time. The large morphological and textural variability of the ash fragments throughout the eruption is unrelated to any important compositional change, and it reflects changes in eruption dynamics and in the mechanisms of magma fragmentation. Textural and morphological features of juveniles suggest that primary magma degassing dominated and modulated the dynamics of the entire eruption, while hydromagmatic fragmentation was particularly effective only in the very initial phase. As a consequence, the large production of fine-grained ash cannot be attributed to processes of magma-water interaction, and mechanisms of brittle to ductile fragmentation related to magma degassing or ash recycling must be invoked. The study demonstrates how the textural and morphological analysis of ash fragments can give important hints to the understanding of the eruption dynamics of complex, long lasting eruptions. © 2014 Elsevier B.V.","container-title":"Earth and Planetary Science Letters","DOI":"10.1016/j.epsl.2014.02.051","ISSN":"0012821X","issue":"May 2010","note":"ISBN: 0012-821X","page":"111-123","publisher":"Elsevier B.V.","title":"Insights into the dynamics and evolution of the 2010 Eyjafjallajökull summit eruption (Iceland) provided by volcanic ash textures","volume":"394","author":[{"family":"Cioni","given":"R."},{"family":"Pistolesi","given":"M."},{"family":"Bertagnini","given":"A."},{"family":"Bonadonna","given":"C."},{"family":"Hoskuldsson","given":"A."},{"family":"Scateni","given":"B."}],"issued":{"date-parts":[["2014"]]}}}],"schema":"https://github.com/citation-style-language/schema/raw/master/csl-citation.json"} </w:instrText>
            </w:r>
            <w:r w:rsidRPr="004C28BD">
              <w:rPr>
                <w:rFonts w:ascii="Arial" w:hAnsi="Arial" w:cs="Arial"/>
                <w:sz w:val="22"/>
                <w:szCs w:val="22"/>
                <w:lang w:val="en-US"/>
              </w:rPr>
              <w:fldChar w:fldCharType="separate"/>
            </w:r>
            <w:r w:rsidR="00B64B6D">
              <w:rPr>
                <w:rFonts w:ascii="Arial" w:hAnsi="Arial" w:cs="Arial"/>
                <w:noProof/>
                <w:sz w:val="22"/>
                <w:szCs w:val="22"/>
                <w:lang w:val="en-US"/>
              </w:rPr>
              <w:t>(Cioni et al., 2014)</w:t>
            </w:r>
            <w:r w:rsidRPr="004C28BD">
              <w:rPr>
                <w:rFonts w:ascii="Arial" w:hAnsi="Arial" w:cs="Arial"/>
                <w:sz w:val="22"/>
                <w:szCs w:val="22"/>
                <w:lang w:val="en-US"/>
              </w:rPr>
              <w:fldChar w:fldCharType="end"/>
            </w:r>
          </w:p>
          <w:p w14:paraId="21E630AF" w14:textId="77777777" w:rsidR="00FA6319" w:rsidRPr="004C28BD" w:rsidRDefault="00FA6319" w:rsidP="00A74524">
            <w:pPr>
              <w:spacing w:line="276" w:lineRule="auto"/>
              <w:jc w:val="center"/>
              <w:rPr>
                <w:rFonts w:ascii="Arial" w:hAnsi="Arial" w:cs="Arial"/>
                <w:sz w:val="22"/>
                <w:szCs w:val="22"/>
                <w:lang w:val="en-US"/>
              </w:rPr>
            </w:pPr>
          </w:p>
        </w:tc>
      </w:tr>
      <w:tr w:rsidR="00FA6319" w:rsidRPr="004C28BD" w14:paraId="53EFE002" w14:textId="77777777" w:rsidTr="00A74524">
        <w:trPr>
          <w:cnfStyle w:val="000000100000" w:firstRow="0" w:lastRow="0" w:firstColumn="0" w:lastColumn="0" w:oddVBand="0" w:evenVBand="0" w:oddHBand="1" w:evenHBand="0" w:firstRowFirstColumn="0" w:firstRowLastColumn="0" w:lastRowFirstColumn="0" w:lastRowLastColumn="0"/>
          <w:trHeight w:val="592"/>
        </w:trPr>
        <w:tc>
          <w:tcPr>
            <w:tcW w:w="1738" w:type="dxa"/>
            <w:shd w:val="clear" w:color="auto" w:fill="auto"/>
            <w:noWrap/>
            <w:vAlign w:val="center"/>
          </w:tcPr>
          <w:p w14:paraId="1FC2FF6E" w14:textId="77777777" w:rsidR="00FA6319" w:rsidRPr="004C28BD" w:rsidRDefault="00FA6319" w:rsidP="00A74524">
            <w:pPr>
              <w:spacing w:line="276" w:lineRule="auto"/>
              <w:jc w:val="center"/>
              <w:rPr>
                <w:rFonts w:ascii="Arial" w:hAnsi="Arial" w:cs="Arial"/>
                <w:i/>
                <w:iCs/>
                <w:sz w:val="22"/>
                <w:szCs w:val="22"/>
                <w:lang w:val="en-US"/>
              </w:rPr>
            </w:pPr>
            <w:r w:rsidRPr="004C28BD">
              <w:rPr>
                <w:rFonts w:ascii="Arial" w:hAnsi="Arial" w:cs="Arial"/>
                <w:i/>
                <w:iCs/>
                <w:sz w:val="22"/>
                <w:szCs w:val="22"/>
                <w:lang w:val="en-US"/>
              </w:rPr>
              <w:t>Solidity</w:t>
            </w:r>
          </w:p>
        </w:tc>
        <w:tc>
          <w:tcPr>
            <w:tcW w:w="2897" w:type="dxa"/>
            <w:shd w:val="clear" w:color="auto" w:fill="auto"/>
            <w:vAlign w:val="center"/>
          </w:tcPr>
          <w:p w14:paraId="16CDE146" w14:textId="77777777" w:rsidR="00FA6319" w:rsidRPr="004C28BD" w:rsidRDefault="00000000" w:rsidP="00A74524">
            <w:pPr>
              <w:spacing w:line="276" w:lineRule="auto"/>
              <w:jc w:val="center"/>
              <w:rPr>
                <w:rFonts w:ascii="Arial" w:eastAsia="Calibri" w:hAnsi="Arial" w:cs="Arial"/>
                <w:sz w:val="22"/>
                <w:szCs w:val="22"/>
                <w:lang w:val="en-US"/>
              </w:rPr>
            </w:pPr>
            <m:oMathPara>
              <m:oMath>
                <m:f>
                  <m:fPr>
                    <m:ctrlPr>
                      <w:rPr>
                        <w:rFonts w:ascii="Cambria Math" w:hAnsi="Cambria Math" w:cs="Arial"/>
                        <w:i/>
                        <w:sz w:val="22"/>
                        <w:szCs w:val="22"/>
                        <w:lang w:val="en-US"/>
                      </w:rPr>
                    </m:ctrlPr>
                  </m:fPr>
                  <m:num>
                    <m:sSub>
                      <m:sSubPr>
                        <m:ctrlPr>
                          <w:rPr>
                            <w:rFonts w:ascii="Cambria Math" w:hAnsi="Cambria Math" w:cs="Arial"/>
                            <w:i/>
                            <w:sz w:val="22"/>
                            <w:szCs w:val="22"/>
                            <w:lang w:val="en-US"/>
                          </w:rPr>
                        </m:ctrlPr>
                      </m:sSubPr>
                      <m:e>
                        <m:r>
                          <w:rPr>
                            <w:rFonts w:ascii="Cambria Math" w:hAnsi="Cambria Math" w:cs="Arial"/>
                            <w:sz w:val="22"/>
                            <w:szCs w:val="22"/>
                            <w:lang w:val="en-US"/>
                          </w:rPr>
                          <m:t>A</m:t>
                        </m:r>
                      </m:e>
                      <m:sub>
                        <m:r>
                          <w:rPr>
                            <w:rFonts w:ascii="Cambria Math" w:hAnsi="Cambria Math" w:cs="Arial"/>
                            <w:sz w:val="22"/>
                            <w:szCs w:val="22"/>
                            <w:lang w:val="en-US"/>
                          </w:rPr>
                          <m:t>p</m:t>
                        </m:r>
                      </m:sub>
                    </m:sSub>
                  </m:num>
                  <m:den>
                    <m:sSub>
                      <m:sSubPr>
                        <m:ctrlPr>
                          <w:rPr>
                            <w:rFonts w:ascii="Cambria Math" w:hAnsi="Cambria Math" w:cs="Arial"/>
                            <w:i/>
                            <w:lang w:val="en-US"/>
                          </w:rPr>
                        </m:ctrlPr>
                      </m:sSubPr>
                      <m:e>
                        <m:r>
                          <w:rPr>
                            <w:rFonts w:ascii="Cambria Math" w:hAnsi="Cambria Math" w:cs="Arial"/>
                            <w:lang w:val="en-US"/>
                          </w:rPr>
                          <m:t>A</m:t>
                        </m:r>
                      </m:e>
                      <m:sub>
                        <m:r>
                          <w:rPr>
                            <w:rFonts w:ascii="Cambria Math" w:hAnsi="Cambria Math" w:cs="Arial"/>
                            <w:lang w:val="en-US"/>
                          </w:rPr>
                          <m:t>h</m:t>
                        </m:r>
                      </m:sub>
                    </m:sSub>
                  </m:den>
                </m:f>
              </m:oMath>
            </m:oMathPara>
          </w:p>
        </w:tc>
        <w:tc>
          <w:tcPr>
            <w:tcW w:w="2326" w:type="dxa"/>
            <w:shd w:val="clear" w:color="auto" w:fill="auto"/>
            <w:vAlign w:val="center"/>
          </w:tcPr>
          <w:p w14:paraId="73480AC0"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t>Particle-scale roughness</w:t>
            </w:r>
          </w:p>
        </w:tc>
        <w:tc>
          <w:tcPr>
            <w:tcW w:w="2326" w:type="dxa"/>
            <w:shd w:val="clear" w:color="auto" w:fill="auto"/>
            <w:vAlign w:val="center"/>
          </w:tcPr>
          <w:p w14:paraId="2DD15D2A"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fldChar w:fldCharType="begin" w:fldLock="1"/>
            </w:r>
            <w:r w:rsidR="00B64B6D">
              <w:rPr>
                <w:rFonts w:ascii="Arial" w:hAnsi="Arial" w:cs="Arial"/>
                <w:sz w:val="22"/>
                <w:szCs w:val="22"/>
                <w:lang w:val="en-US"/>
              </w:rPr>
              <w:instrText xml:space="preserve"> ADDIN ZOTERO_ITEM CSL_CITATION {"citationID":"73Jssw87","properties":{"formattedCitation":"(Liu et al., 2015)","plainCitation":"(Liu et al., 2015)","noteIndex":0},"citationItems":[{"id":1398,"uris":["http://www.mendeley.com/documents/?uuid=aecfaf95-16c0-456d-9f07-088762d8d89b","http://zotero.org/users/15080891/items/NRNJE9UT"],"itemData":{"id":1398,"type":"article-journal","abstract":"Accurate measurements of volcanic ash morphology are critical to improving both our understanding of fragmentation processes and our ability to predict particle behaviour. In this study, we present new ways to choose and apply shape parameters relevant to volcanic ash characterisation. First, we compare shape measurements from different imaging techniques, including cross-sectional (2-D) and projected area images, and discuss their respective applications. We then focus on specific information that can be obtained from shape analysis of 2-D images. Using cluster analysis as an unbiased method to identify key controls on particle morphology, we find that four shape parameters - solidity, convexity, axial ratio, and form factor - can effectively account for the morphological variance within most ash samples. Importantly, these parameters are scaled to values between 0 and 1, and therefore contribute evenly to discrimination diagrams. In particular, co-variation in convexity and solidity can be used to distinguish different juvenile ash components based on characteristic bubble properties. By reducing observations of natural samples to simplified ash geometries, we quantify morphological changes associated with variations in the relative size and shape of bubbles and particles. Using this relationship, we assess the potential application of size-dependent shape analysis for inferring the underlying bubble size distribution, and thus the pre-fragmentation conditions. Finally, we show that particle shape analysis that includes the full range of available grain sizes can contribute not only measurements of particle size and shape, but also information on size-dependent densities.","container-title":"GeoResJ","DOI":"10.1016/j.grj.2015.09.001","ISSN":"22142428","note":"ISBN: 2214-2428","page":"14-30","publisher":"Elsevier Ltd","title":"Optimising shape analysis to quantify volcanic ash morphology","volume":"8","author":[{"family":"Liu","given":"E. J."},{"family":"Cashman","given":"K. V."},{"family":"Rust","given":"A. C."}],"issued":{"date-parts":[["2015"]]}}}],"schema":"https://github.com/citation-style-language/schema/raw/master/csl-citation.json"} </w:instrText>
            </w:r>
            <w:r w:rsidRPr="004C28BD">
              <w:rPr>
                <w:rFonts w:ascii="Arial" w:hAnsi="Arial" w:cs="Arial"/>
                <w:sz w:val="22"/>
                <w:szCs w:val="22"/>
                <w:lang w:val="en-US"/>
              </w:rPr>
              <w:fldChar w:fldCharType="separate"/>
            </w:r>
            <w:r w:rsidR="00B64B6D">
              <w:rPr>
                <w:rFonts w:ascii="Arial" w:hAnsi="Arial" w:cs="Arial"/>
                <w:noProof/>
                <w:sz w:val="22"/>
                <w:szCs w:val="22"/>
                <w:lang w:val="en-US"/>
              </w:rPr>
              <w:t>(Liu et al., 2015)</w:t>
            </w:r>
            <w:r w:rsidRPr="004C28BD">
              <w:rPr>
                <w:rFonts w:ascii="Arial" w:hAnsi="Arial" w:cs="Arial"/>
                <w:sz w:val="22"/>
                <w:szCs w:val="22"/>
                <w:lang w:val="en-US"/>
              </w:rPr>
              <w:fldChar w:fldCharType="end"/>
            </w:r>
          </w:p>
        </w:tc>
      </w:tr>
      <w:tr w:rsidR="00FA6319" w:rsidRPr="004C28BD" w14:paraId="483A9BBD" w14:textId="77777777" w:rsidTr="00A74524">
        <w:trPr>
          <w:trHeight w:val="592"/>
        </w:trPr>
        <w:tc>
          <w:tcPr>
            <w:tcW w:w="1738" w:type="dxa"/>
            <w:noWrap/>
            <w:vAlign w:val="center"/>
          </w:tcPr>
          <w:p w14:paraId="34719F11" w14:textId="77777777" w:rsidR="00FA6319" w:rsidRPr="004C28BD" w:rsidRDefault="00FA6319" w:rsidP="00A74524">
            <w:pPr>
              <w:spacing w:line="276" w:lineRule="auto"/>
              <w:jc w:val="center"/>
              <w:rPr>
                <w:rFonts w:ascii="Arial" w:hAnsi="Arial" w:cs="Arial"/>
                <w:i/>
                <w:iCs/>
                <w:sz w:val="22"/>
                <w:szCs w:val="22"/>
                <w:lang w:val="fr-FR"/>
              </w:rPr>
            </w:pPr>
            <w:r w:rsidRPr="004C28BD">
              <w:rPr>
                <w:rFonts w:ascii="Arial" w:hAnsi="Arial" w:cs="Arial"/>
                <w:i/>
                <w:iCs/>
                <w:sz w:val="22"/>
                <w:szCs w:val="22"/>
                <w:lang w:val="en-US"/>
              </w:rPr>
              <w:t>Compactness</w:t>
            </w:r>
          </w:p>
        </w:tc>
        <w:tc>
          <w:tcPr>
            <w:tcW w:w="2897" w:type="dxa"/>
            <w:vAlign w:val="center"/>
          </w:tcPr>
          <w:p w14:paraId="05F03010" w14:textId="77777777" w:rsidR="00FA6319" w:rsidRPr="004C28BD" w:rsidRDefault="00000000" w:rsidP="00A74524">
            <w:pPr>
              <w:spacing w:line="276" w:lineRule="auto"/>
              <w:jc w:val="center"/>
              <w:rPr>
                <w:rFonts w:ascii="Arial" w:eastAsia="Calibri" w:hAnsi="Arial" w:cs="Arial"/>
                <w:i/>
                <w:sz w:val="22"/>
                <w:szCs w:val="22"/>
                <w:lang w:val="en-US"/>
              </w:rPr>
            </w:pPr>
            <m:oMathPara>
              <m:oMath>
                <m:f>
                  <m:fPr>
                    <m:ctrlPr>
                      <w:rPr>
                        <w:rFonts w:ascii="Cambria Math" w:hAnsi="Cambria Math" w:cs="Arial"/>
                        <w:sz w:val="22"/>
                        <w:szCs w:val="22"/>
                        <w:lang w:val="en-US"/>
                      </w:rPr>
                    </m:ctrlPr>
                  </m:fPr>
                  <m:num>
                    <m:sSub>
                      <m:sSubPr>
                        <m:ctrlPr>
                          <w:rPr>
                            <w:rFonts w:ascii="Cambria Math" w:hAnsi="Cambria Math" w:cs="Arial"/>
                            <w:i/>
                            <w:sz w:val="22"/>
                            <w:szCs w:val="22"/>
                            <w:lang w:val="en-US"/>
                          </w:rPr>
                        </m:ctrlPr>
                      </m:sSubPr>
                      <m:e>
                        <m:r>
                          <w:rPr>
                            <w:rFonts w:ascii="Cambria Math" w:hAnsi="Cambria Math" w:cs="Arial"/>
                            <w:sz w:val="22"/>
                            <w:szCs w:val="22"/>
                            <w:lang w:val="en-US"/>
                          </w:rPr>
                          <m:t>A</m:t>
                        </m:r>
                      </m:e>
                      <m:sub>
                        <m:r>
                          <w:rPr>
                            <w:rFonts w:ascii="Cambria Math" w:hAnsi="Cambria Math" w:cs="Arial"/>
                            <w:sz w:val="22"/>
                            <w:szCs w:val="22"/>
                            <w:lang w:val="en-US"/>
                          </w:rPr>
                          <m:t>p</m:t>
                        </m:r>
                      </m:sub>
                    </m:sSub>
                    <m:ctrlPr>
                      <w:rPr>
                        <w:rFonts w:ascii="Cambria Math" w:hAnsi="Cambria Math" w:cs="Arial"/>
                        <w:i/>
                        <w:sz w:val="22"/>
                        <w:szCs w:val="22"/>
                        <w:lang w:val="en-US"/>
                      </w:rPr>
                    </m:ctrlPr>
                  </m:num>
                  <m:den>
                    <m:r>
                      <w:rPr>
                        <w:rFonts w:ascii="Cambria Math" w:hAnsi="Cambria Math" w:cs="Arial"/>
                        <w:sz w:val="22"/>
                        <w:szCs w:val="22"/>
                        <w:lang w:val="en-US"/>
                      </w:rPr>
                      <m:t>HW</m:t>
                    </m:r>
                    <m:ctrlPr>
                      <w:rPr>
                        <w:rFonts w:ascii="Cambria Math" w:hAnsi="Cambria Math" w:cs="Arial"/>
                        <w:i/>
                        <w:sz w:val="22"/>
                        <w:szCs w:val="22"/>
                        <w:lang w:val="en-US"/>
                      </w:rPr>
                    </m:ctrlPr>
                  </m:den>
                </m:f>
              </m:oMath>
            </m:oMathPara>
          </w:p>
        </w:tc>
        <w:tc>
          <w:tcPr>
            <w:tcW w:w="2326" w:type="dxa"/>
            <w:vAlign w:val="center"/>
          </w:tcPr>
          <w:p w14:paraId="6A7083F7" w14:textId="77777777" w:rsidR="00FA6319" w:rsidRPr="004C28BD" w:rsidRDefault="00FA6319" w:rsidP="00A74524">
            <w:pPr>
              <w:spacing w:line="276" w:lineRule="auto"/>
              <w:jc w:val="center"/>
              <w:rPr>
                <w:rFonts w:ascii="Arial" w:hAnsi="Arial" w:cs="Arial"/>
                <w:sz w:val="22"/>
                <w:szCs w:val="22"/>
                <w:lang w:val="fr-FR"/>
              </w:rPr>
            </w:pPr>
            <w:proofErr w:type="spellStart"/>
            <w:r w:rsidRPr="004C28BD">
              <w:rPr>
                <w:rFonts w:ascii="Arial" w:hAnsi="Arial" w:cs="Arial"/>
                <w:sz w:val="22"/>
                <w:szCs w:val="22"/>
                <w:lang w:val="fr-FR"/>
              </w:rPr>
              <w:t>Particle-scale</w:t>
            </w:r>
            <w:proofErr w:type="spellEnd"/>
            <w:r w:rsidRPr="004C28BD">
              <w:rPr>
                <w:rFonts w:ascii="Arial" w:hAnsi="Arial" w:cs="Arial"/>
                <w:sz w:val="22"/>
                <w:szCs w:val="22"/>
                <w:lang w:val="fr-FR"/>
              </w:rPr>
              <w:t xml:space="preserve"> </w:t>
            </w:r>
            <w:proofErr w:type="spellStart"/>
            <w:r w:rsidRPr="004C28BD">
              <w:rPr>
                <w:rFonts w:ascii="Arial" w:hAnsi="Arial" w:cs="Arial"/>
                <w:sz w:val="22"/>
                <w:szCs w:val="22"/>
                <w:lang w:val="fr-FR"/>
              </w:rPr>
              <w:t>roughness</w:t>
            </w:r>
            <w:proofErr w:type="spellEnd"/>
          </w:p>
        </w:tc>
        <w:tc>
          <w:tcPr>
            <w:tcW w:w="2326" w:type="dxa"/>
            <w:vAlign w:val="center"/>
          </w:tcPr>
          <w:p w14:paraId="798396BC"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fldChar w:fldCharType="begin" w:fldLock="1"/>
            </w:r>
            <w:r w:rsidR="00B64B6D">
              <w:rPr>
                <w:rFonts w:ascii="Arial" w:hAnsi="Arial" w:cs="Arial"/>
                <w:sz w:val="22"/>
                <w:szCs w:val="22"/>
                <w:lang w:val="en-US"/>
              </w:rPr>
              <w:instrText xml:space="preserve"> ADDIN ZOTERO_ITEM CSL_CITATION {"citationID":"z2NzStdR","properties":{"formattedCitation":"(Dellino &amp; La Volpe, 1996)","plainCitation":"(Dellino &amp; La Volpe, 1996)","noteIndex":0},"citationItems":[{"id":1356,"uris":["http://www.mendeley.com/documents/?uuid=5f4433ae-6789-4884-bc19-c58ea110b11c","http://zotero.org/users/15080891/items/WJKYPQID"],"itemData":{"id":1356,"type":"article-journal","abstract":"A quantitative study of particle morphology of samples from Monte Pilato-Rocche Rosse deposits, Lipari (Aeolian islands, Italy) shows a significant variability in particle structure and texture. The study consisted of image processing techniques and multivariate statistical methods in analysis of the quantitative particle morphology data, with the goal of identifying the genetic processes responsible for the formation of the deposits. From these investigations we numerically define the form of the clasts, thus avoiding subjectivity in the classification of clast morphology. Starting from this clast definition, we then construct diagrams in which clasts due to different genetic processes (i.e., magmatic vs. hydromagmatic fragmentation), are discriminated based on simple nondimensional parameters. The application of the methods used seems to be of general interest in discriminating the fragmentation and transportation dynamics responsible for the formation of pyroclastic deposits.","container-title":"Journal of Volcanology and Geothermal Research","DOI":"10.1016/0377-0273(95)00062-3","ISSN":"03770273","issue":"1","note":"ISBN: 0377-0273","page":"13-29","title":"Image processing analysis in reconstructing fragmentation and transportation mechanisms of pyroclastic deposits. The case of Monte Pilato-Rocche Rosse eruptions, Lipari ( Aeolian islands, Italy)","volume":"71","author":[{"family":"Dellino","given":"P."},{"family":"La Volpe","given":"L."}],"issued":{"date-parts":[["1996"]]}}}],"schema":"https://github.com/citation-style-language/schema/raw/master/csl-citation.json"} </w:instrText>
            </w:r>
            <w:r w:rsidRPr="004C28BD">
              <w:rPr>
                <w:rFonts w:ascii="Arial" w:hAnsi="Arial" w:cs="Arial"/>
                <w:sz w:val="22"/>
                <w:szCs w:val="22"/>
                <w:lang w:val="en-US"/>
              </w:rPr>
              <w:fldChar w:fldCharType="separate"/>
            </w:r>
            <w:r w:rsidR="00B64B6D">
              <w:rPr>
                <w:rFonts w:ascii="Arial" w:hAnsi="Arial" w:cs="Arial"/>
                <w:noProof/>
                <w:sz w:val="22"/>
                <w:szCs w:val="22"/>
                <w:lang w:val="en-US"/>
              </w:rPr>
              <w:t>(Dellino &amp; La Volpe, 1996)</w:t>
            </w:r>
            <w:r w:rsidRPr="004C28BD">
              <w:rPr>
                <w:rFonts w:ascii="Arial" w:hAnsi="Arial" w:cs="Arial"/>
                <w:sz w:val="22"/>
                <w:szCs w:val="22"/>
                <w:lang w:val="en-US"/>
              </w:rPr>
              <w:fldChar w:fldCharType="end"/>
            </w:r>
          </w:p>
        </w:tc>
      </w:tr>
      <w:tr w:rsidR="00FA6319" w:rsidRPr="004C28BD" w14:paraId="0A71FFAD" w14:textId="77777777" w:rsidTr="00A74524">
        <w:trPr>
          <w:cnfStyle w:val="000000100000" w:firstRow="0" w:lastRow="0" w:firstColumn="0" w:lastColumn="0" w:oddVBand="0" w:evenVBand="0" w:oddHBand="1" w:evenHBand="0" w:firstRowFirstColumn="0" w:firstRowLastColumn="0" w:lastRowFirstColumn="0" w:lastRowLastColumn="0"/>
          <w:trHeight w:val="761"/>
        </w:trPr>
        <w:tc>
          <w:tcPr>
            <w:tcW w:w="1738" w:type="dxa"/>
            <w:shd w:val="clear" w:color="auto" w:fill="auto"/>
            <w:noWrap/>
            <w:vAlign w:val="center"/>
            <w:hideMark/>
          </w:tcPr>
          <w:p w14:paraId="0B757BCD" w14:textId="77777777" w:rsidR="00FA6319" w:rsidRPr="004C28BD" w:rsidRDefault="00FA6319" w:rsidP="00A74524">
            <w:pPr>
              <w:spacing w:line="276" w:lineRule="auto"/>
              <w:jc w:val="center"/>
              <w:rPr>
                <w:rFonts w:ascii="Arial" w:hAnsi="Arial" w:cs="Arial"/>
                <w:i/>
                <w:iCs/>
                <w:sz w:val="22"/>
                <w:szCs w:val="22"/>
                <w:lang w:val="en-US"/>
              </w:rPr>
            </w:pPr>
            <w:r w:rsidRPr="004C28BD">
              <w:rPr>
                <w:rFonts w:ascii="Arial" w:hAnsi="Arial" w:cs="Arial"/>
                <w:i/>
                <w:iCs/>
                <w:sz w:val="22"/>
                <w:szCs w:val="22"/>
                <w:lang w:val="en-US"/>
              </w:rPr>
              <w:t>Elongation</w:t>
            </w:r>
          </w:p>
        </w:tc>
        <w:tc>
          <w:tcPr>
            <w:tcW w:w="2897" w:type="dxa"/>
            <w:shd w:val="clear" w:color="auto" w:fill="auto"/>
            <w:vAlign w:val="center"/>
          </w:tcPr>
          <w:p w14:paraId="351B2EA8" w14:textId="77777777" w:rsidR="00FA6319" w:rsidRPr="004C28BD" w:rsidRDefault="00000000" w:rsidP="00A74524">
            <w:pPr>
              <w:spacing w:line="276" w:lineRule="auto"/>
              <w:jc w:val="center"/>
              <w:rPr>
                <w:rFonts w:ascii="Arial" w:hAnsi="Arial" w:cs="Arial"/>
                <w:sz w:val="22"/>
                <w:szCs w:val="22"/>
                <w:lang w:val="en-US"/>
              </w:rPr>
            </w:pPr>
            <m:oMathPara>
              <m:oMath>
                <m:f>
                  <m:fPr>
                    <m:ctrlPr>
                      <w:rPr>
                        <w:rFonts w:ascii="Cambria Math" w:hAnsi="Cambria Math" w:cs="Arial"/>
                        <w:i/>
                        <w:sz w:val="22"/>
                        <w:szCs w:val="22"/>
                        <w:lang w:val="en-US"/>
                      </w:rPr>
                    </m:ctrlPr>
                  </m:fPr>
                  <m:num>
                    <m:sSup>
                      <m:sSupPr>
                        <m:ctrlPr>
                          <w:rPr>
                            <w:rFonts w:ascii="Cambria Math" w:hAnsi="Cambria Math" w:cs="Arial"/>
                            <w:i/>
                            <w:sz w:val="22"/>
                            <w:szCs w:val="22"/>
                            <w:lang w:val="en-US"/>
                          </w:rPr>
                        </m:ctrlPr>
                      </m:sSupPr>
                      <m:e>
                        <m:sSub>
                          <m:sSubPr>
                            <m:ctrlPr>
                              <w:rPr>
                                <w:rFonts w:ascii="Cambria Math" w:hAnsi="Cambria Math" w:cs="Arial"/>
                                <w:i/>
                                <w:sz w:val="22"/>
                                <w:szCs w:val="22"/>
                                <w:lang w:val="en-US"/>
                              </w:rPr>
                            </m:ctrlPr>
                          </m:sSubPr>
                          <m:e>
                            <m:r>
                              <w:rPr>
                                <w:rFonts w:ascii="Cambria Math" w:hAnsi="Cambria Math" w:cs="Arial"/>
                                <w:sz w:val="22"/>
                                <w:szCs w:val="22"/>
                                <w:lang w:val="en-US"/>
                              </w:rPr>
                              <m:t>D</m:t>
                            </m:r>
                          </m:e>
                          <m:sub>
                            <m:r>
                              <w:rPr>
                                <w:rFonts w:ascii="Cambria Math" w:hAnsi="Cambria Math" w:cs="Arial"/>
                                <w:sz w:val="22"/>
                                <w:szCs w:val="22"/>
                                <w:lang w:val="en-US"/>
                              </w:rPr>
                              <m:t>MaxFeret</m:t>
                            </m:r>
                          </m:sub>
                        </m:sSub>
                      </m:e>
                      <m:sup>
                        <m:r>
                          <w:rPr>
                            <w:rFonts w:ascii="Cambria Math" w:hAnsi="Cambria Math" w:cs="Arial"/>
                            <w:sz w:val="22"/>
                            <w:szCs w:val="22"/>
                            <w:lang w:val="en-US"/>
                          </w:rPr>
                          <m:t>2</m:t>
                        </m:r>
                      </m:sup>
                    </m:sSup>
                  </m:num>
                  <m:den>
                    <m:sSub>
                      <m:sSubPr>
                        <m:ctrlPr>
                          <w:rPr>
                            <w:rFonts w:ascii="Cambria Math" w:hAnsi="Cambria Math" w:cs="Arial"/>
                            <w:i/>
                            <w:sz w:val="22"/>
                            <w:szCs w:val="22"/>
                            <w:lang w:val="en-US"/>
                          </w:rPr>
                        </m:ctrlPr>
                      </m:sSubPr>
                      <m:e>
                        <m:r>
                          <w:rPr>
                            <w:rFonts w:ascii="Cambria Math" w:hAnsi="Cambria Math" w:cs="Arial"/>
                            <w:sz w:val="22"/>
                            <w:szCs w:val="22"/>
                            <w:lang w:val="en-US"/>
                          </w:rPr>
                          <m:t>E</m:t>
                        </m:r>
                      </m:e>
                      <m:sub>
                        <m:r>
                          <w:rPr>
                            <w:rFonts w:ascii="Cambria Math" w:hAnsi="Cambria Math" w:cs="Arial"/>
                            <w:sz w:val="22"/>
                            <w:szCs w:val="22"/>
                            <w:lang w:val="en-US"/>
                          </w:rPr>
                          <m:t>maj</m:t>
                        </m:r>
                      </m:sub>
                    </m:sSub>
                  </m:den>
                </m:f>
              </m:oMath>
            </m:oMathPara>
          </w:p>
        </w:tc>
        <w:tc>
          <w:tcPr>
            <w:tcW w:w="2326" w:type="dxa"/>
            <w:shd w:val="clear" w:color="auto" w:fill="auto"/>
            <w:vAlign w:val="center"/>
          </w:tcPr>
          <w:p w14:paraId="6ED9ABEF"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t>Form</w:t>
            </w:r>
          </w:p>
        </w:tc>
        <w:tc>
          <w:tcPr>
            <w:tcW w:w="2326" w:type="dxa"/>
            <w:shd w:val="clear" w:color="auto" w:fill="auto"/>
            <w:vAlign w:val="center"/>
          </w:tcPr>
          <w:p w14:paraId="2FA5E5EA"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fldChar w:fldCharType="begin" w:fldLock="1"/>
            </w:r>
            <w:r w:rsidR="00B64B6D">
              <w:rPr>
                <w:rFonts w:ascii="Arial" w:hAnsi="Arial" w:cs="Arial"/>
                <w:sz w:val="22"/>
                <w:szCs w:val="22"/>
                <w:lang w:val="en-US"/>
              </w:rPr>
              <w:instrText xml:space="preserve"> ADDIN ZOTERO_ITEM CSL_CITATION {"citationID":"6LqnbF92","properties":{"formattedCitation":"(Liu et al., 2015)","plainCitation":"(Liu et al., 2015)","noteIndex":0},"citationItems":[{"id":1398,"uris":["http://www.mendeley.com/documents/?uuid=aecfaf95-16c0-456d-9f07-088762d8d89b","http://zotero.org/users/15080891/items/NRNJE9UT"],"itemData":{"id":1398,"type":"article-journal","abstract":"Accurate measurements of volcanic ash morphology are critical to improving both our understanding of fragmentation processes and our ability to predict particle behaviour. In this study, we present new ways to choose and apply shape parameters relevant to volcanic ash characterisation. First, we compare shape measurements from different imaging techniques, including cross-sectional (2-D) and projected area images, and discuss their respective applications. We then focus on specific information that can be obtained from shape analysis of 2-D images. Using cluster analysis as an unbiased method to identify key controls on particle morphology, we find that four shape parameters - solidity, convexity, axial ratio, and form factor - can effectively account for the morphological variance within most ash samples. Importantly, these parameters are scaled to values between 0 and 1, and therefore contribute evenly to discrimination diagrams. In particular, co-variation in convexity and solidity can be used to distinguish different juvenile ash components based on characteristic bubble properties. By reducing observations of natural samples to simplified ash geometries, we quantify morphological changes associated with variations in the relative size and shape of bubbles and particles. Using this relationship, we assess the potential application of size-dependent shape analysis for inferring the underlying bubble size distribution, and thus the pre-fragmentation conditions. Finally, we show that particle shape analysis that includes the full range of available grain sizes can contribute not only measurements of particle size and shape, but also information on size-dependent densities.","container-title":"GeoResJ","DOI":"10.1016/j.grj.2015.09.001","ISSN":"22142428","note":"ISBN: 2214-2428","page":"14-30","publisher":"Elsevier Ltd","title":"Optimising shape analysis to quantify volcanic ash morphology","volume":"8","author":[{"family":"Liu","given":"E. J."},{"family":"Cashman","given":"K. V."},{"family":"Rust","given":"A. C."}],"issued":{"date-parts":[["2015"]]}}}],"schema":"https://github.com/citation-style-language/schema/raw/master/csl-citation.json"} </w:instrText>
            </w:r>
            <w:r w:rsidRPr="004C28BD">
              <w:rPr>
                <w:rFonts w:ascii="Arial" w:hAnsi="Arial" w:cs="Arial"/>
                <w:sz w:val="22"/>
                <w:szCs w:val="22"/>
                <w:lang w:val="en-US"/>
              </w:rPr>
              <w:fldChar w:fldCharType="separate"/>
            </w:r>
            <w:r w:rsidR="00B64B6D">
              <w:rPr>
                <w:rFonts w:ascii="Arial" w:hAnsi="Arial" w:cs="Arial"/>
                <w:noProof/>
                <w:sz w:val="22"/>
                <w:szCs w:val="22"/>
                <w:lang w:val="en-US"/>
              </w:rPr>
              <w:t>(Liu et al., 2015)</w:t>
            </w:r>
            <w:r w:rsidRPr="004C28BD">
              <w:rPr>
                <w:rFonts w:ascii="Arial" w:hAnsi="Arial" w:cs="Arial"/>
                <w:sz w:val="22"/>
                <w:szCs w:val="22"/>
                <w:lang w:val="en-US"/>
              </w:rPr>
              <w:fldChar w:fldCharType="end"/>
            </w:r>
          </w:p>
        </w:tc>
      </w:tr>
      <w:tr w:rsidR="00FA6319" w:rsidRPr="004C28BD" w14:paraId="05BED428" w14:textId="77777777" w:rsidTr="00A74524">
        <w:trPr>
          <w:trHeight w:val="347"/>
        </w:trPr>
        <w:tc>
          <w:tcPr>
            <w:tcW w:w="1738" w:type="dxa"/>
            <w:noWrap/>
            <w:vAlign w:val="center"/>
            <w:hideMark/>
          </w:tcPr>
          <w:p w14:paraId="526A5621" w14:textId="77777777" w:rsidR="00FA6319" w:rsidRPr="004C28BD" w:rsidRDefault="00FA6319" w:rsidP="00A74524">
            <w:pPr>
              <w:spacing w:line="276" w:lineRule="auto"/>
              <w:jc w:val="center"/>
              <w:rPr>
                <w:rFonts w:ascii="Arial" w:hAnsi="Arial" w:cs="Arial"/>
                <w:i/>
                <w:iCs/>
                <w:sz w:val="22"/>
                <w:szCs w:val="22"/>
                <w:lang w:val="en-US"/>
              </w:rPr>
            </w:pPr>
            <w:r w:rsidRPr="004C28BD">
              <w:rPr>
                <w:rFonts w:ascii="Arial" w:hAnsi="Arial" w:cs="Arial"/>
                <w:i/>
                <w:iCs/>
                <w:sz w:val="22"/>
                <w:szCs w:val="22"/>
                <w:lang w:val="en-US"/>
              </w:rPr>
              <w:t>Roundness</w:t>
            </w:r>
          </w:p>
        </w:tc>
        <w:tc>
          <w:tcPr>
            <w:tcW w:w="2897" w:type="dxa"/>
            <w:vAlign w:val="center"/>
          </w:tcPr>
          <w:p w14:paraId="5477185D" w14:textId="77777777" w:rsidR="00FA6319" w:rsidRPr="004C28BD" w:rsidRDefault="00000000" w:rsidP="00A74524">
            <w:pPr>
              <w:spacing w:line="276" w:lineRule="auto"/>
              <w:jc w:val="center"/>
              <w:rPr>
                <w:rFonts w:ascii="Arial" w:hAnsi="Arial" w:cs="Arial"/>
                <w:sz w:val="22"/>
                <w:szCs w:val="22"/>
                <w:lang w:val="en-US"/>
              </w:rPr>
            </w:pPr>
            <m:oMathPara>
              <m:oMath>
                <m:box>
                  <m:boxPr>
                    <m:ctrlPr>
                      <w:rPr>
                        <w:rFonts w:ascii="Cambria Math" w:hAnsi="Cambria Math" w:cs="Arial"/>
                        <w:i/>
                        <w:sz w:val="22"/>
                        <w:szCs w:val="22"/>
                        <w:lang w:val="en-US"/>
                      </w:rPr>
                    </m:ctrlPr>
                  </m:boxPr>
                  <m:e>
                    <m:argPr>
                      <m:argSz m:val="-1"/>
                    </m:argPr>
                    <m:f>
                      <m:fPr>
                        <m:ctrlPr>
                          <w:rPr>
                            <w:rFonts w:ascii="Cambria Math" w:hAnsi="Cambria Math" w:cs="Arial"/>
                            <w:i/>
                            <w:sz w:val="22"/>
                            <w:szCs w:val="22"/>
                            <w:lang w:val="en-US"/>
                          </w:rPr>
                        </m:ctrlPr>
                      </m:fPr>
                      <m:num>
                        <m:r>
                          <w:rPr>
                            <w:rFonts w:ascii="Cambria Math" w:hAnsi="Cambria Math" w:cs="Arial"/>
                            <w:sz w:val="22"/>
                            <w:szCs w:val="22"/>
                            <w:lang w:val="en-US"/>
                          </w:rPr>
                          <m:t>4</m:t>
                        </m:r>
                        <m:sSub>
                          <m:sSubPr>
                            <m:ctrlPr>
                              <w:rPr>
                                <w:rFonts w:ascii="Cambria Math" w:hAnsi="Cambria Math" w:cs="Arial"/>
                                <w:i/>
                                <w:sz w:val="22"/>
                                <w:szCs w:val="22"/>
                                <w:lang w:val="en-US"/>
                              </w:rPr>
                            </m:ctrlPr>
                          </m:sSubPr>
                          <m:e>
                            <m:r>
                              <w:rPr>
                                <w:rFonts w:ascii="Cambria Math" w:hAnsi="Cambria Math" w:cs="Arial"/>
                                <w:sz w:val="22"/>
                                <w:szCs w:val="22"/>
                                <w:lang w:val="en-US"/>
                              </w:rPr>
                              <m:t>A</m:t>
                            </m:r>
                          </m:e>
                          <m:sub>
                            <m:r>
                              <w:rPr>
                                <w:rFonts w:ascii="Cambria Math" w:hAnsi="Cambria Math" w:cs="Arial"/>
                                <w:sz w:val="22"/>
                                <w:szCs w:val="22"/>
                                <w:lang w:val="en-US"/>
                              </w:rPr>
                              <m:t>p</m:t>
                            </m:r>
                          </m:sub>
                        </m:sSub>
                      </m:num>
                      <m:den>
                        <m:r>
                          <w:rPr>
                            <w:rFonts w:ascii="Cambria Math" w:hAnsi="Cambria Math" w:cs="Arial"/>
                            <w:sz w:val="22"/>
                            <w:szCs w:val="22"/>
                            <w:lang w:val="en-US"/>
                          </w:rPr>
                          <m:t>π</m:t>
                        </m:r>
                        <m:sSup>
                          <m:sSupPr>
                            <m:ctrlPr>
                              <w:rPr>
                                <w:rFonts w:ascii="Cambria Math" w:hAnsi="Cambria Math" w:cs="Arial"/>
                                <w:i/>
                                <w:sz w:val="22"/>
                                <w:szCs w:val="22"/>
                                <w:lang w:val="en-US"/>
                              </w:rPr>
                            </m:ctrlPr>
                          </m:sSupPr>
                          <m:e>
                            <m:sSub>
                              <m:sSubPr>
                                <m:ctrlPr>
                                  <w:rPr>
                                    <w:rFonts w:ascii="Cambria Math" w:hAnsi="Cambria Math" w:cs="Arial"/>
                                    <w:i/>
                                    <w:sz w:val="22"/>
                                    <w:szCs w:val="22"/>
                                    <w:lang w:val="en-US"/>
                                  </w:rPr>
                                </m:ctrlPr>
                              </m:sSubPr>
                              <m:e>
                                <m:r>
                                  <w:rPr>
                                    <w:rFonts w:ascii="Cambria Math" w:hAnsi="Cambria Math" w:cs="Arial"/>
                                    <w:sz w:val="22"/>
                                    <w:szCs w:val="22"/>
                                    <w:lang w:val="en-US"/>
                                  </w:rPr>
                                  <m:t>D</m:t>
                                </m:r>
                              </m:e>
                              <m:sub>
                                <m:r>
                                  <w:rPr>
                                    <w:rFonts w:ascii="Cambria Math" w:hAnsi="Cambria Math" w:cs="Arial"/>
                                    <w:sz w:val="22"/>
                                    <w:szCs w:val="22"/>
                                    <w:lang w:val="en-US"/>
                                  </w:rPr>
                                  <m:t>MaxFeret</m:t>
                                </m:r>
                              </m:sub>
                            </m:sSub>
                          </m:e>
                          <m:sup>
                            <m:r>
                              <w:rPr>
                                <w:rFonts w:ascii="Cambria Math" w:hAnsi="Cambria Math" w:cs="Arial"/>
                                <w:sz w:val="22"/>
                                <w:szCs w:val="22"/>
                                <w:lang w:val="en-US"/>
                              </w:rPr>
                              <m:t>2</m:t>
                            </m:r>
                          </m:sup>
                        </m:sSup>
                      </m:den>
                    </m:f>
                  </m:e>
                </m:box>
              </m:oMath>
            </m:oMathPara>
          </w:p>
        </w:tc>
        <w:tc>
          <w:tcPr>
            <w:tcW w:w="2326" w:type="dxa"/>
            <w:vAlign w:val="center"/>
          </w:tcPr>
          <w:p w14:paraId="77EE8298"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t>Form</w:t>
            </w:r>
          </w:p>
        </w:tc>
        <w:tc>
          <w:tcPr>
            <w:tcW w:w="2326" w:type="dxa"/>
            <w:vAlign w:val="center"/>
          </w:tcPr>
          <w:p w14:paraId="1415071E"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fldChar w:fldCharType="begin" w:fldLock="1"/>
            </w:r>
            <w:r w:rsidR="00B64B6D">
              <w:rPr>
                <w:rFonts w:ascii="Arial" w:hAnsi="Arial" w:cs="Arial"/>
                <w:sz w:val="22"/>
                <w:szCs w:val="22"/>
                <w:lang w:val="en-US"/>
              </w:rPr>
              <w:instrText xml:space="preserve"> ADDIN ZOTERO_ITEM CSL_CITATION {"citationID":"6CJE7gTI","properties":{"formattedCitation":"(Liu et al., 2015)","plainCitation":"(Liu et al., 2015)","noteIndex":0},"citationItems":[{"id":1398,"uris":["http://www.mendeley.com/documents/?uuid=aecfaf95-16c0-456d-9f07-088762d8d89b","http://zotero.org/users/15080891/items/NRNJE9UT"],"itemData":{"id":1398,"type":"article-journal","abstract":"Accurate measurements of volcanic ash morphology are critical to improving both our understanding of fragmentation processes and our ability to predict particle behaviour. In this study, we present new ways to choose and apply shape parameters relevant to volcanic ash characterisation. First, we compare shape measurements from different imaging techniques, including cross-sectional (2-D) and projected area images, and discuss their respective applications. We then focus on specific information that can be obtained from shape analysis of 2-D images. Using cluster analysis as an unbiased method to identify key controls on particle morphology, we find that four shape parameters - solidity, convexity, axial ratio, and form factor - can effectively account for the morphological variance within most ash samples. Importantly, these parameters are scaled to values between 0 and 1, and therefore contribute evenly to discrimination diagrams. In particular, co-variation in convexity and solidity can be used to distinguish different juvenile ash components based on characteristic bubble properties. By reducing observations of natural samples to simplified ash geometries, we quantify morphological changes associated with variations in the relative size and shape of bubbles and particles. Using this relationship, we assess the potential application of size-dependent shape analysis for inferring the underlying bubble size distribution, and thus the pre-fragmentation conditions. Finally, we show that particle shape analysis that includes the full range of available grain sizes can contribute not only measurements of particle size and shape, but also information on size-dependent densities.","container-title":"GeoResJ","DOI":"10.1016/j.grj.2015.09.001","ISSN":"22142428","note":"ISBN: 2214-2428","page":"14-30","publisher":"Elsevier Ltd","title":"Optimising shape analysis to quantify volcanic ash morphology","volume":"8","author":[{"family":"Liu","given":"E. J."},{"family":"Cashman","given":"K. V."},{"family":"Rust","given":"A. C."}],"issued":{"date-parts":[["2015"]]}}}],"schema":"https://github.com/citation-style-language/schema/raw/master/csl-citation.json"} </w:instrText>
            </w:r>
            <w:r w:rsidRPr="004C28BD">
              <w:rPr>
                <w:rFonts w:ascii="Arial" w:hAnsi="Arial" w:cs="Arial"/>
                <w:sz w:val="22"/>
                <w:szCs w:val="22"/>
                <w:lang w:val="en-US"/>
              </w:rPr>
              <w:fldChar w:fldCharType="separate"/>
            </w:r>
            <w:r w:rsidR="00B64B6D">
              <w:rPr>
                <w:rFonts w:ascii="Arial" w:hAnsi="Arial" w:cs="Arial"/>
                <w:noProof/>
                <w:sz w:val="22"/>
                <w:szCs w:val="22"/>
                <w:lang w:val="en-US"/>
              </w:rPr>
              <w:t>(Liu et al., 2015)</w:t>
            </w:r>
            <w:r w:rsidRPr="004C28BD">
              <w:rPr>
                <w:rFonts w:ascii="Arial" w:hAnsi="Arial" w:cs="Arial"/>
                <w:sz w:val="22"/>
                <w:szCs w:val="22"/>
                <w:lang w:val="en-US"/>
              </w:rPr>
              <w:fldChar w:fldCharType="end"/>
            </w:r>
          </w:p>
        </w:tc>
      </w:tr>
      <w:tr w:rsidR="00FA6319" w:rsidRPr="00FA08B0" w14:paraId="52B33A83" w14:textId="77777777" w:rsidTr="00A74524">
        <w:trPr>
          <w:cnfStyle w:val="000000100000" w:firstRow="0" w:lastRow="0" w:firstColumn="0" w:lastColumn="0" w:oddVBand="0" w:evenVBand="0" w:oddHBand="1" w:evenHBand="0" w:firstRowFirstColumn="0" w:firstRowLastColumn="0" w:lastRowFirstColumn="0" w:lastRowLastColumn="0"/>
          <w:trHeight w:val="347"/>
        </w:trPr>
        <w:tc>
          <w:tcPr>
            <w:tcW w:w="1738" w:type="dxa"/>
            <w:shd w:val="clear" w:color="auto" w:fill="auto"/>
            <w:noWrap/>
            <w:vAlign w:val="center"/>
          </w:tcPr>
          <w:p w14:paraId="04DDB63C" w14:textId="77777777" w:rsidR="00FA6319" w:rsidRPr="004C28BD" w:rsidRDefault="00FA6319" w:rsidP="00A74524">
            <w:pPr>
              <w:spacing w:line="276" w:lineRule="auto"/>
              <w:jc w:val="center"/>
              <w:rPr>
                <w:rFonts w:ascii="Arial" w:hAnsi="Arial" w:cs="Arial"/>
                <w:i/>
                <w:iCs/>
                <w:sz w:val="22"/>
                <w:szCs w:val="22"/>
                <w:lang w:val="en-US"/>
              </w:rPr>
            </w:pPr>
            <w:proofErr w:type="spellStart"/>
            <w:r w:rsidRPr="004C28BD">
              <w:rPr>
                <w:rFonts w:ascii="Arial" w:hAnsi="Arial" w:cs="Arial"/>
                <w:i/>
                <w:iCs/>
                <w:sz w:val="22"/>
                <w:szCs w:val="22"/>
                <w:lang w:val="en-US"/>
              </w:rPr>
              <w:t>Aspect_Rat</w:t>
            </w:r>
            <w:proofErr w:type="spellEnd"/>
          </w:p>
        </w:tc>
        <w:tc>
          <w:tcPr>
            <w:tcW w:w="2897" w:type="dxa"/>
            <w:shd w:val="clear" w:color="auto" w:fill="auto"/>
            <w:vAlign w:val="center"/>
          </w:tcPr>
          <w:p w14:paraId="48A4DC03" w14:textId="77777777" w:rsidR="00FA6319" w:rsidRPr="004C28BD" w:rsidRDefault="00FA6319" w:rsidP="00A74524">
            <w:pPr>
              <w:spacing w:line="276" w:lineRule="auto"/>
              <w:jc w:val="center"/>
              <w:rPr>
                <w:rFonts w:ascii="Arial" w:hAnsi="Arial" w:cs="Arial"/>
                <w:sz w:val="22"/>
                <w:szCs w:val="22"/>
                <w:lang w:val="en-US"/>
              </w:rPr>
            </w:pPr>
            <m:oMathPara>
              <m:oMath>
                <m:r>
                  <w:rPr>
                    <w:rFonts w:ascii="Cambria Math" w:hAnsi="Cambria Math" w:cs="Arial"/>
                    <w:sz w:val="22"/>
                    <w:szCs w:val="22"/>
                    <w:lang w:val="en-US"/>
                  </w:rPr>
                  <m:t>W</m:t>
                </m:r>
                <m:r>
                  <w:rPr>
                    <w:rFonts w:ascii="Cambria Math" w:hAnsi="Cambria Math" w:cs="Arial"/>
                    <w:sz w:val="22"/>
                    <w:lang w:val="fr-FR"/>
                  </w:rPr>
                  <m:t>/</m:t>
                </m:r>
                <m:r>
                  <w:rPr>
                    <w:rFonts w:ascii="Cambria Math" w:hAnsi="Cambria Math" w:cs="Arial"/>
                    <w:sz w:val="22"/>
                    <w:szCs w:val="22"/>
                    <w:lang w:val="en-US"/>
                  </w:rPr>
                  <m:t>H</m:t>
                </m:r>
              </m:oMath>
            </m:oMathPara>
          </w:p>
        </w:tc>
        <w:tc>
          <w:tcPr>
            <w:tcW w:w="2326" w:type="dxa"/>
            <w:shd w:val="clear" w:color="auto" w:fill="auto"/>
            <w:vAlign w:val="center"/>
          </w:tcPr>
          <w:p w14:paraId="77992C1D"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t>Form</w:t>
            </w:r>
          </w:p>
        </w:tc>
        <w:tc>
          <w:tcPr>
            <w:tcW w:w="2326" w:type="dxa"/>
            <w:shd w:val="clear" w:color="auto" w:fill="auto"/>
            <w:vAlign w:val="center"/>
          </w:tcPr>
          <w:p w14:paraId="4A3E4A3F" w14:textId="77777777" w:rsidR="00FA6319" w:rsidRPr="00B64B6D" w:rsidRDefault="00FA6319" w:rsidP="00A74524">
            <w:pPr>
              <w:spacing w:line="276" w:lineRule="auto"/>
              <w:jc w:val="center"/>
              <w:rPr>
                <w:rFonts w:ascii="Arial" w:hAnsi="Arial" w:cs="Arial"/>
                <w:sz w:val="22"/>
                <w:szCs w:val="22"/>
                <w:lang w:val="fr-FR"/>
              </w:rPr>
            </w:pPr>
            <w:r w:rsidRPr="004C28BD">
              <w:rPr>
                <w:rFonts w:ascii="Arial" w:hAnsi="Arial" w:cs="Arial"/>
                <w:sz w:val="22"/>
                <w:szCs w:val="22"/>
                <w:lang w:val="en-US"/>
              </w:rPr>
              <w:fldChar w:fldCharType="begin" w:fldLock="1"/>
            </w:r>
            <w:r w:rsidR="00B64B6D">
              <w:rPr>
                <w:rFonts w:ascii="Arial" w:hAnsi="Arial" w:cs="Arial"/>
                <w:sz w:val="22"/>
                <w:szCs w:val="22"/>
                <w:lang w:val="en-US"/>
              </w:rPr>
              <w:instrText xml:space="preserve"> ADDIN ZOTERO_ITEM CSL_CITATION {"citationID":"3CTrgclQ","properties":{"formattedCitation":"(Leibrandt &amp; Le Pennec, 2015)","plainCitation":"(Leibrandt &amp; Le Pennec, 2015)","noteIndex":0},"citationItems":[{"id":1396,"uris":["http://www.mendeley.com/documents/?uuid=26870f25-c3db-493f-930e-f32c397e1edf","http://zotero.org/users/15080891/items/BX2DP326"],"itemData":{"id":1396,"type":"article-journal","abstract":"The morphometry of volcanic ash produced by explosive eruptions yields ample information on fragmentation processes (e.g. magmatic vs magma-water interactions), and on transport and sedimentation mechanisms. Most previous works on volcanic clast morphometry focused on the Apparent (2D-)Projected shape of ASH grains, here termed APASH, to infer processes and eruptive styles. However, textural analyses of ash grains has remained a long and tedious task that made such approaches inappropriate for eruption surveillance duties. In this work we show that new technological advances on automated dispersion of granular materials imaged with a camera-coupled microscope and enhanced computer capabilities enable fast and high resolution image acquisition of thousands of ash grains that resolve this limitation. With a morpho-grainsizer designed for such fast and routine measurements we perform a series of APASH analyses on selected ash fractions of tephra deposits from known eruptive styles. We record the size, aspect ratio, circularity and convexity of APASH images and assess resolution, reproducibility, minimum population size, and total analytical duration, and offer recommendations for the reporting of APASH data for inter-laboratory comparisons. To avoid fractal geometry concerns, our analyses are carried out at constant size range (250-300. μm) and optical magnification (×. 5) on ~. 3000 grains per samples collected from homogenized sa</w:instrText>
            </w:r>
            <w:r w:rsidR="00B64B6D" w:rsidRPr="00B64B6D">
              <w:rPr>
                <w:rFonts w:ascii="Arial" w:hAnsi="Arial" w:cs="Arial"/>
                <w:sz w:val="22"/>
                <w:szCs w:val="22"/>
                <w:lang w:val="fr-FR"/>
              </w:rPr>
              <w:instrText xml:space="preserve">mples. Results from the andesitic 1999-ongoing eruption of Tungurahua volcano (Ecuador) show that ash particles from the moderate 2001 phase are relatively equant and convex in shape, while the stronger 2006 subplinian phase produced ash grains with more elongated, less circular and less convex APASH signatures. Ash grains from a basaltic scoria cone-forming eruption show even more ragged APASH characteristics. Overall, our protocol allows obtaining accurate and reproducible morphometric measurements that reveal subtle variations of the morphological signature, and the short duration (1.8. hours) of the whole analytical process renders high resolution analyses of ash shape achievable for volcano surveillance applications. This research ultimately aims to set up a morphometric database of APASH results for well-defined eruptive styles, in order to interpret on a short term basis any APASH data from active volcanoes for monitoring purposes.","container-title":"Journal of Volcanology and Geothermal Research","DOI":"10.1016/j.jvolgeores.2015.03.014","ISSN":"03770273","note":"ISBN: 0377-0273","page":"11-27","publisher":"Elsevier B.V.","title":"Towards fast and routine analyses of volcanic ash morphometry for eruption surveillance applications","volume":"297","author":[{"family":"Leibrandt","given":"Sébastien"},{"family":"Le Pennec","given":"Jean Luc"}],"issued":{"date-parts":[["2015"]]}}}],"schema":"https://github.com/citation-style-language/schema/raw/master/csl-citation.json"} </w:instrText>
            </w:r>
            <w:r w:rsidRPr="004C28BD">
              <w:rPr>
                <w:rFonts w:ascii="Arial" w:hAnsi="Arial" w:cs="Arial"/>
                <w:sz w:val="22"/>
                <w:szCs w:val="22"/>
                <w:lang w:val="en-US"/>
              </w:rPr>
              <w:fldChar w:fldCharType="separate"/>
            </w:r>
            <w:r w:rsidR="00B64B6D" w:rsidRPr="00B64B6D">
              <w:rPr>
                <w:rFonts w:ascii="Arial" w:hAnsi="Arial" w:cs="Arial"/>
                <w:noProof/>
                <w:sz w:val="22"/>
                <w:szCs w:val="22"/>
                <w:lang w:val="fr-FR"/>
              </w:rPr>
              <w:t>(Leibrandt &amp; Le Pennec, 2015)</w:t>
            </w:r>
            <w:r w:rsidRPr="004C28BD">
              <w:rPr>
                <w:rFonts w:ascii="Arial" w:hAnsi="Arial" w:cs="Arial"/>
                <w:sz w:val="22"/>
                <w:szCs w:val="22"/>
                <w:lang w:val="en-US"/>
              </w:rPr>
              <w:fldChar w:fldCharType="end"/>
            </w:r>
          </w:p>
        </w:tc>
      </w:tr>
      <w:tr w:rsidR="00FA6319" w:rsidRPr="004C28BD" w14:paraId="2C010BFD" w14:textId="77777777" w:rsidTr="00A74524">
        <w:trPr>
          <w:trHeight w:val="347"/>
        </w:trPr>
        <w:tc>
          <w:tcPr>
            <w:tcW w:w="1738" w:type="dxa"/>
            <w:noWrap/>
            <w:vAlign w:val="center"/>
          </w:tcPr>
          <w:p w14:paraId="40D89572" w14:textId="77777777" w:rsidR="00FA6319" w:rsidRPr="00B64B6D" w:rsidRDefault="00FA6319" w:rsidP="00A74524">
            <w:pPr>
              <w:spacing w:line="276" w:lineRule="auto"/>
              <w:jc w:val="center"/>
              <w:rPr>
                <w:rFonts w:ascii="Arial" w:hAnsi="Arial" w:cs="Arial"/>
                <w:i/>
                <w:iCs/>
                <w:sz w:val="22"/>
                <w:szCs w:val="22"/>
                <w:lang w:val="fr-FR"/>
              </w:rPr>
            </w:pPr>
            <w:proofErr w:type="spellStart"/>
            <w:r w:rsidRPr="00B64B6D">
              <w:rPr>
                <w:rFonts w:ascii="Arial" w:hAnsi="Arial" w:cs="Arial"/>
                <w:i/>
                <w:iCs/>
                <w:sz w:val="22"/>
                <w:szCs w:val="22"/>
                <w:lang w:val="fr-FR"/>
              </w:rPr>
              <w:t>Contrast</w:t>
            </w:r>
            <w:proofErr w:type="spellEnd"/>
          </w:p>
        </w:tc>
        <w:tc>
          <w:tcPr>
            <w:tcW w:w="2897" w:type="dxa"/>
            <w:vAlign w:val="center"/>
          </w:tcPr>
          <w:p w14:paraId="4FEA18CB" w14:textId="77777777" w:rsidR="00FA6319" w:rsidRPr="00B64B6D" w:rsidRDefault="00000000" w:rsidP="00A74524">
            <w:pPr>
              <w:spacing w:line="276" w:lineRule="auto"/>
              <w:jc w:val="center"/>
              <w:rPr>
                <w:rFonts w:ascii="Arial" w:hAnsi="Arial" w:cs="Arial"/>
                <w:sz w:val="22"/>
                <w:szCs w:val="22"/>
                <w:lang w:val="fr-FR"/>
              </w:rPr>
            </w:pPr>
            <m:oMathPara>
              <m:oMath>
                <m:nary>
                  <m:naryPr>
                    <m:chr m:val="∑"/>
                    <m:ctrlPr>
                      <w:rPr>
                        <w:rFonts w:ascii="Cambria Math" w:hAnsi="Cambria Math" w:cs="Arial"/>
                        <w:i/>
                        <w:sz w:val="22"/>
                        <w:szCs w:val="22"/>
                        <w:lang w:val="en-US"/>
                      </w:rPr>
                    </m:ctrlPr>
                  </m:naryPr>
                  <m:sub>
                    <m:r>
                      <w:rPr>
                        <w:rFonts w:ascii="Cambria Math" w:hAnsi="Cambria Math" w:cs="Arial"/>
                        <w:sz w:val="22"/>
                        <w:szCs w:val="22"/>
                        <w:lang w:val="en-US"/>
                      </w:rPr>
                      <m:t>i</m:t>
                    </m:r>
                    <m:r>
                      <w:rPr>
                        <w:rFonts w:ascii="Cambria Math" w:hAnsi="Cambria Math" w:cs="Arial"/>
                        <w:sz w:val="22"/>
                        <w:lang w:val="fr-FR"/>
                      </w:rPr>
                      <m:t>,</m:t>
                    </m:r>
                    <m:r>
                      <w:rPr>
                        <w:rFonts w:ascii="Cambria Math" w:hAnsi="Cambria Math" w:cs="Arial"/>
                        <w:sz w:val="22"/>
                        <w:szCs w:val="22"/>
                        <w:lang w:val="en-US"/>
                      </w:rPr>
                      <m:t>j</m:t>
                    </m:r>
                    <m:r>
                      <w:rPr>
                        <w:rFonts w:ascii="Cambria Math" w:hAnsi="Cambria Math" w:cs="Arial"/>
                        <w:sz w:val="22"/>
                        <w:lang w:val="fr-FR"/>
                      </w:rPr>
                      <m:t>=0</m:t>
                    </m:r>
                  </m:sub>
                  <m:sup>
                    <m:r>
                      <w:rPr>
                        <w:rFonts w:ascii="Cambria Math" w:hAnsi="Cambria Math" w:cs="Arial"/>
                        <w:sz w:val="22"/>
                        <w:szCs w:val="22"/>
                        <w:lang w:val="en-US"/>
                      </w:rPr>
                      <m:t>levels</m:t>
                    </m:r>
                    <m:r>
                      <w:rPr>
                        <w:rFonts w:ascii="Cambria Math" w:hAnsi="Cambria Math" w:cs="Arial"/>
                        <w:sz w:val="22"/>
                        <w:lang w:val="fr-FR"/>
                      </w:rPr>
                      <m:t>-1</m:t>
                    </m:r>
                  </m:sup>
                  <m:e>
                    <m:sSubSup>
                      <m:sSubSupPr>
                        <m:ctrlPr>
                          <w:rPr>
                            <w:rFonts w:ascii="Cambria Math" w:hAnsi="Cambria Math" w:cs="Arial"/>
                            <w:i/>
                            <w:sz w:val="22"/>
                            <w:szCs w:val="22"/>
                            <w:lang w:val="en-US"/>
                          </w:rPr>
                        </m:ctrlPr>
                      </m:sSubSupPr>
                      <m:e>
                        <m:r>
                          <w:rPr>
                            <w:rFonts w:ascii="Cambria Math" w:hAnsi="Cambria Math" w:cs="Arial"/>
                            <w:sz w:val="22"/>
                            <w:szCs w:val="22"/>
                            <w:lang w:val="en-US"/>
                          </w:rPr>
                          <m:t>P</m:t>
                        </m:r>
                      </m:e>
                      <m:sub>
                        <m:r>
                          <w:rPr>
                            <w:rFonts w:ascii="Cambria Math" w:hAnsi="Cambria Math" w:cs="Arial"/>
                            <w:sz w:val="22"/>
                            <w:szCs w:val="22"/>
                            <w:lang w:val="en-US"/>
                          </w:rPr>
                          <m:t>d</m:t>
                        </m:r>
                      </m:sub>
                      <m:sup>
                        <m:r>
                          <w:rPr>
                            <w:rFonts w:ascii="Cambria Math" w:hAnsi="Cambria Math" w:cs="Arial"/>
                            <w:sz w:val="22"/>
                            <w:szCs w:val="22"/>
                            <w:lang w:val="en-US"/>
                          </w:rPr>
                          <m:t>θ</m:t>
                        </m:r>
                      </m:sup>
                    </m:sSubSup>
                    <m:sSup>
                      <m:sSupPr>
                        <m:ctrlPr>
                          <w:rPr>
                            <w:rFonts w:ascii="Cambria Math" w:hAnsi="Cambria Math" w:cs="Arial"/>
                            <w:i/>
                            <w:sz w:val="22"/>
                            <w:szCs w:val="22"/>
                            <w:lang w:val="en-US"/>
                          </w:rPr>
                        </m:ctrlPr>
                      </m:sSupPr>
                      <m:e>
                        <m:d>
                          <m:dPr>
                            <m:ctrlPr>
                              <w:rPr>
                                <w:rFonts w:ascii="Cambria Math" w:hAnsi="Cambria Math" w:cs="Arial"/>
                                <w:i/>
                                <w:sz w:val="22"/>
                                <w:szCs w:val="22"/>
                                <w:lang w:val="en-US"/>
                              </w:rPr>
                            </m:ctrlPr>
                          </m:dPr>
                          <m:e>
                            <m:r>
                              <w:rPr>
                                <w:rFonts w:ascii="Cambria Math" w:hAnsi="Cambria Math" w:cs="Arial"/>
                                <w:sz w:val="22"/>
                                <w:szCs w:val="22"/>
                                <w:lang w:val="en-US"/>
                              </w:rPr>
                              <m:t>i</m:t>
                            </m:r>
                            <m:r>
                              <w:rPr>
                                <w:rFonts w:ascii="Cambria Math" w:hAnsi="Cambria Math" w:cs="Arial"/>
                                <w:sz w:val="22"/>
                                <w:lang w:val="fr-FR"/>
                              </w:rPr>
                              <m:t>-</m:t>
                            </m:r>
                            <m:r>
                              <w:rPr>
                                <w:rFonts w:ascii="Cambria Math" w:hAnsi="Cambria Math" w:cs="Arial"/>
                                <w:sz w:val="22"/>
                                <w:szCs w:val="22"/>
                                <w:lang w:val="en-US"/>
                              </w:rPr>
                              <m:t>j</m:t>
                            </m:r>
                          </m:e>
                        </m:d>
                      </m:e>
                      <m:sup>
                        <m:r>
                          <w:rPr>
                            <w:rFonts w:ascii="Cambria Math" w:hAnsi="Cambria Math" w:cs="Arial"/>
                            <w:sz w:val="22"/>
                            <w:lang w:val="fr-FR"/>
                          </w:rPr>
                          <m:t>2</m:t>
                        </m:r>
                      </m:sup>
                    </m:sSup>
                  </m:e>
                </m:nary>
              </m:oMath>
            </m:oMathPara>
          </w:p>
        </w:tc>
        <w:tc>
          <w:tcPr>
            <w:tcW w:w="2326" w:type="dxa"/>
            <w:vAlign w:val="center"/>
          </w:tcPr>
          <w:p w14:paraId="62C6108A" w14:textId="77777777" w:rsidR="00FA6319" w:rsidRPr="004C28BD" w:rsidRDefault="00FA6319" w:rsidP="00A74524">
            <w:pPr>
              <w:spacing w:line="276" w:lineRule="auto"/>
              <w:jc w:val="center"/>
              <w:rPr>
                <w:rFonts w:ascii="Arial" w:hAnsi="Arial" w:cs="Arial"/>
                <w:sz w:val="22"/>
                <w:szCs w:val="22"/>
                <w:lang w:val="fr-FR"/>
              </w:rPr>
            </w:pPr>
            <w:r w:rsidRPr="00B64B6D">
              <w:rPr>
                <w:rFonts w:ascii="Arial" w:hAnsi="Arial" w:cs="Arial"/>
                <w:sz w:val="22"/>
                <w:szCs w:val="22"/>
                <w:lang w:val="fr-FR"/>
              </w:rPr>
              <w:t>T</w:t>
            </w:r>
            <w:r w:rsidRPr="004C28BD">
              <w:rPr>
                <w:rFonts w:ascii="Arial" w:hAnsi="Arial" w:cs="Arial"/>
                <w:sz w:val="22"/>
                <w:szCs w:val="22"/>
                <w:lang w:val="fr-FR"/>
              </w:rPr>
              <w:t xml:space="preserve">extural </w:t>
            </w:r>
            <w:proofErr w:type="spellStart"/>
            <w:r w:rsidRPr="004C28BD">
              <w:rPr>
                <w:rFonts w:ascii="Arial" w:hAnsi="Arial" w:cs="Arial"/>
                <w:sz w:val="22"/>
                <w:szCs w:val="22"/>
                <w:lang w:val="fr-FR"/>
              </w:rPr>
              <w:t>complexity</w:t>
            </w:r>
            <w:proofErr w:type="spellEnd"/>
          </w:p>
        </w:tc>
        <w:tc>
          <w:tcPr>
            <w:tcW w:w="2326" w:type="dxa"/>
            <w:vAlign w:val="center"/>
          </w:tcPr>
          <w:p w14:paraId="63757471"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fldChar w:fldCharType="begin" w:fldLock="1"/>
            </w:r>
            <w:r w:rsidR="00B64B6D">
              <w:rPr>
                <w:rFonts w:ascii="Arial" w:hAnsi="Arial" w:cs="Arial"/>
                <w:sz w:val="22"/>
                <w:szCs w:val="22"/>
                <w:lang w:val="fr-FR"/>
              </w:rPr>
              <w:instrText xml:space="preserve"> ADDIN ZOTERO_ITEM CSL_CITATION {"citationID":"rhtF7Yg4","properties":{"formattedCitation":"(Hall-Beyer, 2017)","plainCitation":"(Hall-Beyer, 2017)","noteIndex":0},"citationItems":[{"id":9098,"uris":["http://www.mendeley.com/documents/?uuid=dbd1b0d2-23e1-4bcd-a6af-398d0a931fb7","http://zotero.org/users/15080891/items/FTCU63PK"],"itemData":{"id":9098,"type":"article-journal","abstract":"Damaging effects of detonating high explosive charges of a few kilograms weight are only provided in the close proximity to the charge, even against soft target structures. The duration of the positive pressure pulse is very short, much less than 1 ms. It is virtually at least very difficult to measure the peak pressures and the pressure histories in these near distances resp. inside the fire ball for many different reasons. This means that any target structure in the near distance will be loaded not with the static pressure, but with a dynamic momentum, comparable to a ballistic pendulum. For this reason it is sufficient to determine the time integral, the momentum as a whole. Then only the impulse relates in these cases directly to the damaging effects. The momentum distribution of an on one-end initiated cylindrical high explosive charge is measured with the so-called momentum method which gives also high angle resolution. This high reproducible method has demonstrated that the radial momentum of a cylindrical charge increases drastically higher at nearer distances compared to diagonal directions. Strongly surprising is the difference of the momentum along the axis in the detonation direction, which is more than 10 times higher, compared to the rearward direction.","container-title":"17th International Symposium on Ballistics","issue":"March","page":"18-19","PMID":"103","title":"GLCM Texture: A Tutorial","volume":"2","author":[{"family":"Hall-Beyer","given":"Mryka"}],"issued":{"date-parts":[["2017"]]}}}],"schema":"https://github.com/citation-style-language/schema/raw/master/csl-citation.json"} </w:instrText>
            </w:r>
            <w:r w:rsidRPr="004C28BD">
              <w:rPr>
                <w:rFonts w:ascii="Arial" w:hAnsi="Arial" w:cs="Arial"/>
                <w:sz w:val="22"/>
                <w:szCs w:val="22"/>
                <w:lang w:val="en-US"/>
              </w:rPr>
              <w:fldChar w:fldCharType="separate"/>
            </w:r>
            <w:r w:rsidR="00B64B6D">
              <w:rPr>
                <w:rFonts w:ascii="Arial" w:hAnsi="Arial" w:cs="Arial"/>
                <w:noProof/>
                <w:sz w:val="22"/>
                <w:szCs w:val="22"/>
                <w:lang w:val="en-US"/>
              </w:rPr>
              <w:t>(Hall-Beyer, 2017)</w:t>
            </w:r>
            <w:r w:rsidRPr="004C28BD">
              <w:rPr>
                <w:rFonts w:ascii="Arial" w:hAnsi="Arial" w:cs="Arial"/>
                <w:sz w:val="22"/>
                <w:szCs w:val="22"/>
                <w:lang w:val="en-US"/>
              </w:rPr>
              <w:fldChar w:fldCharType="end"/>
            </w:r>
          </w:p>
        </w:tc>
      </w:tr>
      <w:tr w:rsidR="00FA6319" w:rsidRPr="004C28BD" w14:paraId="0CED2A42" w14:textId="77777777" w:rsidTr="00A74524">
        <w:trPr>
          <w:cnfStyle w:val="000000100000" w:firstRow="0" w:lastRow="0" w:firstColumn="0" w:lastColumn="0" w:oddVBand="0" w:evenVBand="0" w:oddHBand="1" w:evenHBand="0" w:firstRowFirstColumn="0" w:firstRowLastColumn="0" w:lastRowFirstColumn="0" w:lastRowLastColumn="0"/>
          <w:trHeight w:val="347"/>
        </w:trPr>
        <w:tc>
          <w:tcPr>
            <w:tcW w:w="1738" w:type="dxa"/>
            <w:shd w:val="clear" w:color="auto" w:fill="auto"/>
            <w:noWrap/>
            <w:vAlign w:val="center"/>
            <w:hideMark/>
          </w:tcPr>
          <w:p w14:paraId="3F35A2D5" w14:textId="77777777" w:rsidR="00FA6319" w:rsidRPr="004C28BD" w:rsidRDefault="00FA6319" w:rsidP="00A74524">
            <w:pPr>
              <w:spacing w:line="276" w:lineRule="auto"/>
              <w:jc w:val="center"/>
              <w:rPr>
                <w:rFonts w:ascii="Arial" w:hAnsi="Arial" w:cs="Arial"/>
                <w:i/>
                <w:iCs/>
                <w:sz w:val="22"/>
                <w:szCs w:val="22"/>
                <w:lang w:val="en-US"/>
              </w:rPr>
            </w:pPr>
            <w:r w:rsidRPr="004C28BD">
              <w:rPr>
                <w:rFonts w:ascii="Arial" w:hAnsi="Arial" w:cs="Arial"/>
                <w:i/>
                <w:iCs/>
                <w:sz w:val="22"/>
                <w:szCs w:val="22"/>
                <w:lang w:val="en-US"/>
              </w:rPr>
              <w:t>Dissimilarity</w:t>
            </w:r>
          </w:p>
        </w:tc>
        <w:tc>
          <w:tcPr>
            <w:tcW w:w="2897" w:type="dxa"/>
            <w:shd w:val="clear" w:color="auto" w:fill="auto"/>
            <w:vAlign w:val="center"/>
          </w:tcPr>
          <w:p w14:paraId="07B48885" w14:textId="77777777" w:rsidR="00FA6319" w:rsidRPr="004C28BD" w:rsidRDefault="00000000" w:rsidP="00A74524">
            <w:pPr>
              <w:spacing w:line="276" w:lineRule="auto"/>
              <w:jc w:val="center"/>
              <w:rPr>
                <w:rFonts w:ascii="Arial" w:hAnsi="Arial" w:cs="Arial"/>
                <w:sz w:val="22"/>
                <w:szCs w:val="22"/>
                <w:lang w:val="en-US"/>
              </w:rPr>
            </w:pPr>
            <m:oMathPara>
              <m:oMath>
                <m:nary>
                  <m:naryPr>
                    <m:chr m:val="∑"/>
                    <m:ctrlPr>
                      <w:rPr>
                        <w:rFonts w:ascii="Cambria Math" w:hAnsi="Cambria Math" w:cs="Arial"/>
                        <w:i/>
                        <w:sz w:val="22"/>
                        <w:szCs w:val="22"/>
                        <w:lang w:val="en-US"/>
                      </w:rPr>
                    </m:ctrlPr>
                  </m:naryPr>
                  <m:sub>
                    <m:r>
                      <w:rPr>
                        <w:rFonts w:ascii="Cambria Math" w:hAnsi="Cambria Math" w:cs="Arial"/>
                        <w:sz w:val="22"/>
                        <w:szCs w:val="22"/>
                        <w:lang w:val="en-US"/>
                      </w:rPr>
                      <m:t>i,j=0</m:t>
                    </m:r>
                  </m:sub>
                  <m:sup>
                    <m:r>
                      <w:rPr>
                        <w:rFonts w:ascii="Cambria Math" w:hAnsi="Cambria Math" w:cs="Arial"/>
                        <w:sz w:val="22"/>
                        <w:szCs w:val="22"/>
                        <w:lang w:val="en-US"/>
                      </w:rPr>
                      <m:t>levels-1</m:t>
                    </m:r>
                  </m:sup>
                  <m:e>
                    <m:sSubSup>
                      <m:sSubSupPr>
                        <m:ctrlPr>
                          <w:rPr>
                            <w:rFonts w:ascii="Cambria Math" w:hAnsi="Cambria Math" w:cs="Arial"/>
                            <w:i/>
                            <w:sz w:val="22"/>
                            <w:szCs w:val="22"/>
                            <w:lang w:val="en-US"/>
                          </w:rPr>
                        </m:ctrlPr>
                      </m:sSubSupPr>
                      <m:e>
                        <m:r>
                          <w:rPr>
                            <w:rFonts w:ascii="Cambria Math" w:hAnsi="Cambria Math" w:cs="Arial"/>
                            <w:sz w:val="22"/>
                            <w:szCs w:val="22"/>
                            <w:lang w:val="en-US"/>
                          </w:rPr>
                          <m:t>P</m:t>
                        </m:r>
                      </m:e>
                      <m:sub>
                        <m:r>
                          <w:rPr>
                            <w:rFonts w:ascii="Cambria Math" w:hAnsi="Cambria Math" w:cs="Arial"/>
                            <w:sz w:val="22"/>
                            <w:szCs w:val="22"/>
                            <w:lang w:val="en-US"/>
                          </w:rPr>
                          <m:t>d</m:t>
                        </m:r>
                      </m:sub>
                      <m:sup>
                        <m:r>
                          <w:rPr>
                            <w:rFonts w:ascii="Cambria Math" w:hAnsi="Cambria Math" w:cs="Arial"/>
                            <w:sz w:val="22"/>
                            <w:szCs w:val="22"/>
                            <w:lang w:val="en-US"/>
                          </w:rPr>
                          <m:t>θ</m:t>
                        </m:r>
                      </m:sup>
                    </m:sSubSup>
                    <m:d>
                      <m:dPr>
                        <m:begChr m:val="|"/>
                        <m:endChr m:val="|"/>
                        <m:ctrlPr>
                          <w:rPr>
                            <w:rFonts w:ascii="Cambria Math" w:hAnsi="Cambria Math" w:cs="Arial"/>
                            <w:i/>
                            <w:sz w:val="22"/>
                            <w:szCs w:val="22"/>
                            <w:lang w:val="en-US"/>
                          </w:rPr>
                        </m:ctrlPr>
                      </m:dPr>
                      <m:e>
                        <m:r>
                          <w:rPr>
                            <w:rFonts w:ascii="Cambria Math" w:hAnsi="Cambria Math" w:cs="Arial"/>
                            <w:sz w:val="22"/>
                            <w:szCs w:val="22"/>
                            <w:lang w:val="en-US"/>
                          </w:rPr>
                          <m:t>i-j</m:t>
                        </m:r>
                      </m:e>
                    </m:d>
                  </m:e>
                </m:nary>
              </m:oMath>
            </m:oMathPara>
          </w:p>
        </w:tc>
        <w:tc>
          <w:tcPr>
            <w:tcW w:w="2326" w:type="dxa"/>
            <w:shd w:val="clear" w:color="auto" w:fill="auto"/>
            <w:vAlign w:val="center"/>
          </w:tcPr>
          <w:p w14:paraId="33E60034"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t>Textural complexity</w:t>
            </w:r>
          </w:p>
        </w:tc>
        <w:tc>
          <w:tcPr>
            <w:tcW w:w="2326" w:type="dxa"/>
            <w:shd w:val="clear" w:color="auto" w:fill="auto"/>
            <w:vAlign w:val="center"/>
          </w:tcPr>
          <w:p w14:paraId="19A292F9"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fldChar w:fldCharType="begin" w:fldLock="1"/>
            </w:r>
            <w:r w:rsidR="00B64B6D">
              <w:rPr>
                <w:rFonts w:ascii="Arial" w:hAnsi="Arial" w:cs="Arial"/>
                <w:sz w:val="22"/>
                <w:szCs w:val="22"/>
                <w:lang w:val="en-US"/>
              </w:rPr>
              <w:instrText xml:space="preserve"> ADDIN ZOTERO_ITEM CSL_CITATION {"citationID":"M4rgt72i","properties":{"formattedCitation":"(Hall-Beyer, 2017)","plainCitation":"(Hall-Beyer, 2017)","noteIndex":0},"citationItems":[{"id":9098,"uris":["http://www.mendeley.com/documents/?uuid=dbd1b0d2-23e1-4bcd-a6af-398d0a931fb7","http://zotero.org/users/15080891/items/FTCU63PK"],"itemData":{"id":9098,"type":"article-journal","abstract":"Damaging effects of detonating high explosive charges of a few kilograms weight are only provided in the close proximity to the charge, even against soft target structures. The duration of the positive pressure pulse is very short, much less than 1 ms. It is virtually at least very difficult to measure the peak pressures and the pressure histories in these near distances resp. inside the fire ball for many different reasons. This means that any target structure in the near distance will be loaded not with the static pressure, but with a dynamic momentum, comparable to a ballistic pendulum. For this reason it is sufficient to determine the time integral, the momentum as a whole. Then only the impulse relates in these cases directly to the damaging effects. The momentum distribution of an on one-end initiated cylindrical high explosive charge is measured with the so-called momentum method which gives also high angle resolution. This high reproducible method has demonstrated that the radial momentum of a cylindrical charge increases drastically higher at nearer distances compared to diagonal directions. Strongly surprising is the difference of the momentum along the axis in the detonation direction, which is more than 10 times higher, compared to the rearward direction.","container-title":"17th International Symposium on Ballistics","issue":"March","page":"18-19","PMID":"103","title":"GLCM Texture: A Tutorial","volume":"2","author":[{"family":"Hall-Beyer","given":"Mryka"}],"issued":{"date-parts":[["2017"]]}}}],"schema":"https://github.com/citation-style-language/schema/raw/master/csl-citation.json"} </w:instrText>
            </w:r>
            <w:r w:rsidRPr="004C28BD">
              <w:rPr>
                <w:rFonts w:ascii="Arial" w:hAnsi="Arial" w:cs="Arial"/>
                <w:sz w:val="22"/>
                <w:szCs w:val="22"/>
                <w:lang w:val="en-US"/>
              </w:rPr>
              <w:fldChar w:fldCharType="separate"/>
            </w:r>
            <w:r w:rsidR="00B64B6D">
              <w:rPr>
                <w:rFonts w:ascii="Arial" w:hAnsi="Arial" w:cs="Arial"/>
                <w:noProof/>
                <w:sz w:val="22"/>
                <w:szCs w:val="22"/>
                <w:lang w:val="en-US"/>
              </w:rPr>
              <w:t>(Hall-Beyer, 2017)</w:t>
            </w:r>
            <w:r w:rsidRPr="004C28BD">
              <w:rPr>
                <w:rFonts w:ascii="Arial" w:hAnsi="Arial" w:cs="Arial"/>
                <w:sz w:val="22"/>
                <w:szCs w:val="22"/>
                <w:lang w:val="en-US"/>
              </w:rPr>
              <w:fldChar w:fldCharType="end"/>
            </w:r>
          </w:p>
        </w:tc>
      </w:tr>
      <w:tr w:rsidR="00FA6319" w:rsidRPr="004C28BD" w14:paraId="7B35F61C" w14:textId="77777777" w:rsidTr="00A74524">
        <w:trPr>
          <w:trHeight w:val="347"/>
        </w:trPr>
        <w:tc>
          <w:tcPr>
            <w:tcW w:w="1738" w:type="dxa"/>
            <w:noWrap/>
            <w:vAlign w:val="center"/>
          </w:tcPr>
          <w:p w14:paraId="017AEA9D" w14:textId="77777777" w:rsidR="00FA6319" w:rsidRPr="004C28BD" w:rsidRDefault="00FA6319" w:rsidP="00A74524">
            <w:pPr>
              <w:spacing w:line="276" w:lineRule="auto"/>
              <w:jc w:val="center"/>
              <w:rPr>
                <w:rFonts w:ascii="Arial" w:hAnsi="Arial" w:cs="Arial"/>
                <w:i/>
                <w:iCs/>
                <w:sz w:val="22"/>
                <w:szCs w:val="22"/>
                <w:lang w:val="en-US"/>
              </w:rPr>
            </w:pPr>
            <w:r w:rsidRPr="004C28BD">
              <w:rPr>
                <w:rFonts w:ascii="Arial" w:hAnsi="Arial" w:cs="Arial"/>
                <w:i/>
                <w:iCs/>
                <w:sz w:val="22"/>
                <w:szCs w:val="22"/>
                <w:lang w:val="en-US"/>
              </w:rPr>
              <w:t>Homogeneity</w:t>
            </w:r>
          </w:p>
        </w:tc>
        <w:tc>
          <w:tcPr>
            <w:tcW w:w="2897" w:type="dxa"/>
            <w:vAlign w:val="center"/>
          </w:tcPr>
          <w:p w14:paraId="63874B32" w14:textId="77777777" w:rsidR="00FA6319" w:rsidRPr="004C28BD" w:rsidRDefault="00000000" w:rsidP="00A74524">
            <w:pPr>
              <w:spacing w:line="276" w:lineRule="auto"/>
              <w:jc w:val="center"/>
              <w:rPr>
                <w:rFonts w:ascii="Arial" w:eastAsiaTheme="minorEastAsia" w:hAnsi="Arial" w:cs="Arial"/>
                <w:sz w:val="22"/>
                <w:szCs w:val="22"/>
                <w:lang w:val="en-US"/>
              </w:rPr>
            </w:pPr>
            <m:oMathPara>
              <m:oMath>
                <m:nary>
                  <m:naryPr>
                    <m:chr m:val="∑"/>
                    <m:ctrlPr>
                      <w:rPr>
                        <w:rFonts w:ascii="Cambria Math" w:hAnsi="Cambria Math" w:cs="Arial"/>
                        <w:i/>
                        <w:sz w:val="22"/>
                        <w:szCs w:val="22"/>
                        <w:lang w:val="en-US"/>
                      </w:rPr>
                    </m:ctrlPr>
                  </m:naryPr>
                  <m:sub>
                    <m:r>
                      <w:rPr>
                        <w:rFonts w:ascii="Cambria Math" w:hAnsi="Cambria Math" w:cs="Arial"/>
                        <w:sz w:val="22"/>
                        <w:szCs w:val="22"/>
                        <w:lang w:val="en-US"/>
                      </w:rPr>
                      <m:t>i,j=0</m:t>
                    </m:r>
                  </m:sub>
                  <m:sup>
                    <m:r>
                      <w:rPr>
                        <w:rFonts w:ascii="Cambria Math" w:hAnsi="Cambria Math" w:cs="Arial"/>
                        <w:sz w:val="22"/>
                        <w:szCs w:val="22"/>
                        <w:lang w:val="en-US"/>
                      </w:rPr>
                      <m:t>levels-1</m:t>
                    </m:r>
                  </m:sup>
                  <m:e>
                    <m:f>
                      <m:fPr>
                        <m:ctrlPr>
                          <w:rPr>
                            <w:rFonts w:ascii="Cambria Math" w:hAnsi="Cambria Math" w:cs="Arial"/>
                            <w:i/>
                            <w:sz w:val="22"/>
                            <w:szCs w:val="22"/>
                            <w:lang w:val="en-US"/>
                          </w:rPr>
                        </m:ctrlPr>
                      </m:fPr>
                      <m:num>
                        <m:sSubSup>
                          <m:sSubSupPr>
                            <m:ctrlPr>
                              <w:rPr>
                                <w:rFonts w:ascii="Cambria Math" w:hAnsi="Cambria Math" w:cs="Arial"/>
                                <w:i/>
                                <w:sz w:val="22"/>
                                <w:szCs w:val="22"/>
                                <w:lang w:val="en-US"/>
                              </w:rPr>
                            </m:ctrlPr>
                          </m:sSubSupPr>
                          <m:e>
                            <m:r>
                              <w:rPr>
                                <w:rFonts w:ascii="Cambria Math" w:hAnsi="Cambria Math" w:cs="Arial"/>
                                <w:sz w:val="22"/>
                                <w:szCs w:val="22"/>
                                <w:lang w:val="en-US"/>
                              </w:rPr>
                              <m:t>P</m:t>
                            </m:r>
                          </m:e>
                          <m:sub>
                            <m:r>
                              <w:rPr>
                                <w:rFonts w:ascii="Cambria Math" w:hAnsi="Cambria Math" w:cs="Arial"/>
                                <w:sz w:val="22"/>
                                <w:szCs w:val="22"/>
                                <w:lang w:val="en-US"/>
                              </w:rPr>
                              <m:t>d</m:t>
                            </m:r>
                          </m:sub>
                          <m:sup>
                            <m:r>
                              <w:rPr>
                                <w:rFonts w:ascii="Cambria Math" w:hAnsi="Cambria Math" w:cs="Arial"/>
                                <w:sz w:val="22"/>
                                <w:szCs w:val="22"/>
                                <w:lang w:val="en-US"/>
                              </w:rPr>
                              <m:t>θ</m:t>
                            </m:r>
                          </m:sup>
                        </m:sSubSup>
                        <m:r>
                          <w:rPr>
                            <w:rFonts w:ascii="Cambria Math" w:hAnsi="Cambria Math" w:cs="Arial"/>
                            <w:sz w:val="22"/>
                            <w:szCs w:val="22"/>
                            <w:lang w:val="en-US"/>
                          </w:rPr>
                          <m:t>(i,j)</m:t>
                        </m:r>
                      </m:num>
                      <m:den>
                        <m:r>
                          <w:rPr>
                            <w:rFonts w:ascii="Cambria Math" w:hAnsi="Cambria Math" w:cs="Arial"/>
                            <w:sz w:val="22"/>
                            <w:szCs w:val="22"/>
                            <w:lang w:val="en-US"/>
                          </w:rPr>
                          <m:t>1+</m:t>
                        </m:r>
                        <m:sSup>
                          <m:sSupPr>
                            <m:ctrlPr>
                              <w:rPr>
                                <w:rFonts w:ascii="Cambria Math" w:hAnsi="Cambria Math" w:cs="Arial"/>
                                <w:i/>
                                <w:sz w:val="22"/>
                                <w:szCs w:val="22"/>
                                <w:lang w:val="en-US"/>
                              </w:rPr>
                            </m:ctrlPr>
                          </m:sSupPr>
                          <m:e>
                            <m:d>
                              <m:dPr>
                                <m:ctrlPr>
                                  <w:rPr>
                                    <w:rFonts w:ascii="Cambria Math" w:hAnsi="Cambria Math" w:cs="Arial"/>
                                    <w:i/>
                                    <w:sz w:val="22"/>
                                    <w:szCs w:val="22"/>
                                    <w:lang w:val="en-US"/>
                                  </w:rPr>
                                </m:ctrlPr>
                              </m:dPr>
                              <m:e>
                                <m:r>
                                  <w:rPr>
                                    <w:rFonts w:ascii="Cambria Math" w:hAnsi="Cambria Math" w:cs="Arial"/>
                                    <w:sz w:val="22"/>
                                    <w:szCs w:val="22"/>
                                    <w:lang w:val="en-US"/>
                                  </w:rPr>
                                  <m:t>i-j</m:t>
                                </m:r>
                              </m:e>
                            </m:d>
                          </m:e>
                          <m:sup>
                            <m:r>
                              <w:rPr>
                                <w:rFonts w:ascii="Cambria Math" w:hAnsi="Cambria Math" w:cs="Arial"/>
                                <w:sz w:val="22"/>
                                <w:szCs w:val="22"/>
                                <w:lang w:val="en-US"/>
                              </w:rPr>
                              <m:t>2</m:t>
                            </m:r>
                          </m:sup>
                        </m:sSup>
                      </m:den>
                    </m:f>
                  </m:e>
                </m:nary>
              </m:oMath>
            </m:oMathPara>
          </w:p>
        </w:tc>
        <w:tc>
          <w:tcPr>
            <w:tcW w:w="2326" w:type="dxa"/>
            <w:vAlign w:val="center"/>
          </w:tcPr>
          <w:p w14:paraId="585CA5EA"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t>Textural smoothness</w:t>
            </w:r>
          </w:p>
        </w:tc>
        <w:tc>
          <w:tcPr>
            <w:tcW w:w="2326" w:type="dxa"/>
            <w:vAlign w:val="center"/>
          </w:tcPr>
          <w:p w14:paraId="7555E4C3"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fldChar w:fldCharType="begin" w:fldLock="1"/>
            </w:r>
            <w:r w:rsidR="00B64B6D">
              <w:rPr>
                <w:rFonts w:ascii="Arial" w:hAnsi="Arial" w:cs="Arial"/>
                <w:sz w:val="22"/>
                <w:szCs w:val="22"/>
                <w:lang w:val="en-US"/>
              </w:rPr>
              <w:instrText xml:space="preserve"> ADDIN ZOTERO_ITEM CSL_CITATION {"citationID":"zhLTkGTv","properties":{"formattedCitation":"(Hall-Beyer, 2017)","plainCitation":"(Hall-Beyer, 2017)","noteIndex":0},"citationItems":[{"id":9098,"uris":["http://www.mendeley.com/documents/?uuid=dbd1b0d2-23e1-4bcd-a6af-398d0a931fb7","http://zotero.org/users/15080891/items/FTCU63PK"],"itemData":{"id":9098,"type":"article-journal","abstract":"Damaging effects of detonating high explosive charges of a few kilograms weight are only provided in the close proximity to the charge, even against soft target structures. The duration of the positive pressure pulse is very short, much less than 1 ms. It is virtually at least very difficult to measure the peak pressures and the pressure histories in these near distances resp. inside the fire ball for many different reasons. This means that any target structure in the near distance will be loaded not with the static pressure, but with a dynamic momentum, comparable to a ballistic pendulum. For this reason it is sufficient to determine the time integral, the momentum as a whole. Then only the impulse relates in these cases directly to the damaging effects. The momentum distribution of an on one-end initiated cylindrical high explosive charge is measured with the so-called momentum method which gives also high angle resolution. This high reproducible method has demonstrated that the radial momentum of a cylindrical charge increases drastically higher at nearer distances compared to diagonal directions. Strongly surprising is the difference of the momentum along the axis in the detonation direction, which is more than 10 times higher, compared to the rearward direction.","container-title":"17th International Symposium on Ballistics","issue":"March","page":"18-19","PMID":"103","title":"GLCM Texture: A Tutorial","volume":"2","author":[{"family":"Hall-Beyer","given":"Mryka"}],"issued":{"date-parts":[["2017"]]}}}],"schema":"https://github.com/citation-style-language/schema/raw/master/csl-citation.json"} </w:instrText>
            </w:r>
            <w:r w:rsidRPr="004C28BD">
              <w:rPr>
                <w:rFonts w:ascii="Arial" w:hAnsi="Arial" w:cs="Arial"/>
                <w:sz w:val="22"/>
                <w:szCs w:val="22"/>
                <w:lang w:val="en-US"/>
              </w:rPr>
              <w:fldChar w:fldCharType="separate"/>
            </w:r>
            <w:r w:rsidR="00B64B6D">
              <w:rPr>
                <w:rFonts w:ascii="Arial" w:hAnsi="Arial" w:cs="Arial"/>
                <w:noProof/>
                <w:sz w:val="22"/>
                <w:szCs w:val="22"/>
                <w:lang w:val="en-US"/>
              </w:rPr>
              <w:t>(Hall-Beyer, 2017)</w:t>
            </w:r>
            <w:r w:rsidRPr="004C28BD">
              <w:rPr>
                <w:rFonts w:ascii="Arial" w:hAnsi="Arial" w:cs="Arial"/>
                <w:sz w:val="22"/>
                <w:szCs w:val="22"/>
                <w:lang w:val="en-US"/>
              </w:rPr>
              <w:fldChar w:fldCharType="end"/>
            </w:r>
          </w:p>
        </w:tc>
      </w:tr>
      <w:tr w:rsidR="00FA6319" w:rsidRPr="004C28BD" w14:paraId="48254A64" w14:textId="77777777" w:rsidTr="00A74524">
        <w:trPr>
          <w:cnfStyle w:val="000000100000" w:firstRow="0" w:lastRow="0" w:firstColumn="0" w:lastColumn="0" w:oddVBand="0" w:evenVBand="0" w:oddHBand="1" w:evenHBand="0" w:firstRowFirstColumn="0" w:firstRowLastColumn="0" w:lastRowFirstColumn="0" w:lastRowLastColumn="0"/>
          <w:trHeight w:val="347"/>
        </w:trPr>
        <w:tc>
          <w:tcPr>
            <w:tcW w:w="1738" w:type="dxa"/>
            <w:shd w:val="clear" w:color="auto" w:fill="auto"/>
            <w:noWrap/>
            <w:vAlign w:val="center"/>
            <w:hideMark/>
          </w:tcPr>
          <w:p w14:paraId="602F9851" w14:textId="77777777" w:rsidR="00FA6319" w:rsidRPr="004C28BD" w:rsidRDefault="00FA6319" w:rsidP="00A74524">
            <w:pPr>
              <w:spacing w:line="276" w:lineRule="auto"/>
              <w:jc w:val="center"/>
              <w:rPr>
                <w:rFonts w:ascii="Arial" w:hAnsi="Arial" w:cs="Arial"/>
                <w:i/>
                <w:iCs/>
                <w:sz w:val="22"/>
                <w:szCs w:val="22"/>
                <w:lang w:val="en-US"/>
              </w:rPr>
            </w:pPr>
            <w:r w:rsidRPr="004C28BD">
              <w:rPr>
                <w:rFonts w:ascii="Arial" w:hAnsi="Arial" w:cs="Arial"/>
                <w:i/>
                <w:iCs/>
                <w:sz w:val="22"/>
                <w:szCs w:val="22"/>
                <w:lang w:val="en-US"/>
              </w:rPr>
              <w:t>ASM</w:t>
            </w:r>
          </w:p>
        </w:tc>
        <w:tc>
          <w:tcPr>
            <w:tcW w:w="2897" w:type="dxa"/>
            <w:shd w:val="clear" w:color="auto" w:fill="auto"/>
            <w:vAlign w:val="center"/>
          </w:tcPr>
          <w:p w14:paraId="1CF336EA" w14:textId="77777777" w:rsidR="00FA6319" w:rsidRPr="004C28BD" w:rsidRDefault="00000000" w:rsidP="00A74524">
            <w:pPr>
              <w:spacing w:line="276" w:lineRule="auto"/>
              <w:jc w:val="center"/>
              <w:rPr>
                <w:rFonts w:ascii="Arial" w:hAnsi="Arial" w:cs="Arial"/>
                <w:i/>
                <w:sz w:val="22"/>
                <w:szCs w:val="22"/>
                <w:lang w:val="en-US"/>
              </w:rPr>
            </w:pPr>
            <m:oMathPara>
              <m:oMath>
                <m:nary>
                  <m:naryPr>
                    <m:chr m:val="∑"/>
                    <m:ctrlPr>
                      <w:rPr>
                        <w:rFonts w:ascii="Cambria Math" w:hAnsi="Cambria Math" w:cs="Arial"/>
                        <w:i/>
                        <w:sz w:val="22"/>
                        <w:szCs w:val="22"/>
                        <w:lang w:val="en-US"/>
                      </w:rPr>
                    </m:ctrlPr>
                  </m:naryPr>
                  <m:sub>
                    <m:r>
                      <w:rPr>
                        <w:rFonts w:ascii="Cambria Math" w:hAnsi="Cambria Math" w:cs="Arial"/>
                        <w:sz w:val="22"/>
                        <w:szCs w:val="22"/>
                        <w:lang w:val="en-US"/>
                      </w:rPr>
                      <m:t>i,j=0</m:t>
                    </m:r>
                  </m:sub>
                  <m:sup>
                    <m:r>
                      <w:rPr>
                        <w:rFonts w:ascii="Cambria Math" w:hAnsi="Cambria Math" w:cs="Arial"/>
                        <w:sz w:val="22"/>
                        <w:szCs w:val="22"/>
                        <w:lang w:val="en-US"/>
                      </w:rPr>
                      <m:t>levels-1</m:t>
                    </m:r>
                  </m:sup>
                  <m:e>
                    <m:sSup>
                      <m:sSupPr>
                        <m:ctrlPr>
                          <w:rPr>
                            <w:rFonts w:ascii="Cambria Math" w:hAnsi="Cambria Math" w:cs="Arial"/>
                            <w:i/>
                            <w:sz w:val="22"/>
                            <w:szCs w:val="22"/>
                            <w:lang w:val="en-US"/>
                          </w:rPr>
                        </m:ctrlPr>
                      </m:sSupPr>
                      <m:e>
                        <m:sSubSup>
                          <m:sSubSupPr>
                            <m:ctrlPr>
                              <w:rPr>
                                <w:rFonts w:ascii="Cambria Math" w:hAnsi="Cambria Math" w:cs="Arial"/>
                                <w:i/>
                                <w:sz w:val="22"/>
                                <w:szCs w:val="22"/>
                                <w:lang w:val="en-US"/>
                              </w:rPr>
                            </m:ctrlPr>
                          </m:sSubSupPr>
                          <m:e>
                            <m:r>
                              <w:rPr>
                                <w:rFonts w:ascii="Cambria Math" w:hAnsi="Cambria Math" w:cs="Arial"/>
                                <w:sz w:val="22"/>
                                <w:szCs w:val="22"/>
                                <w:lang w:val="en-US"/>
                              </w:rPr>
                              <m:t>P</m:t>
                            </m:r>
                          </m:e>
                          <m:sub>
                            <m:r>
                              <w:rPr>
                                <w:rFonts w:ascii="Cambria Math" w:hAnsi="Cambria Math" w:cs="Arial"/>
                                <w:sz w:val="22"/>
                                <w:szCs w:val="22"/>
                                <w:lang w:val="en-US"/>
                              </w:rPr>
                              <m:t>d</m:t>
                            </m:r>
                          </m:sub>
                          <m:sup>
                            <m:r>
                              <w:rPr>
                                <w:rFonts w:ascii="Cambria Math" w:hAnsi="Cambria Math" w:cs="Arial"/>
                                <w:sz w:val="22"/>
                                <w:szCs w:val="22"/>
                                <w:lang w:val="en-US"/>
                              </w:rPr>
                              <m:t>θ</m:t>
                            </m:r>
                          </m:sup>
                        </m:sSubSup>
                        <m:r>
                          <w:rPr>
                            <w:rFonts w:ascii="Cambria Math" w:hAnsi="Cambria Math" w:cs="Arial"/>
                            <w:sz w:val="22"/>
                            <w:szCs w:val="22"/>
                            <w:lang w:val="en-US"/>
                          </w:rPr>
                          <m:t>(i,j)</m:t>
                        </m:r>
                      </m:e>
                      <m:sup>
                        <m:r>
                          <w:rPr>
                            <w:rFonts w:ascii="Cambria Math" w:hAnsi="Cambria Math" w:cs="Arial"/>
                            <w:sz w:val="22"/>
                            <w:szCs w:val="22"/>
                            <w:lang w:val="en-US"/>
                          </w:rPr>
                          <m:t>2</m:t>
                        </m:r>
                      </m:sup>
                    </m:sSup>
                  </m:e>
                </m:nary>
              </m:oMath>
            </m:oMathPara>
          </w:p>
        </w:tc>
        <w:tc>
          <w:tcPr>
            <w:tcW w:w="2326" w:type="dxa"/>
            <w:shd w:val="clear" w:color="auto" w:fill="auto"/>
            <w:vAlign w:val="center"/>
          </w:tcPr>
          <w:p w14:paraId="398E8088"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t>Textural smoothness</w:t>
            </w:r>
          </w:p>
        </w:tc>
        <w:tc>
          <w:tcPr>
            <w:tcW w:w="2326" w:type="dxa"/>
            <w:shd w:val="clear" w:color="auto" w:fill="auto"/>
            <w:vAlign w:val="center"/>
          </w:tcPr>
          <w:p w14:paraId="2AE5ACDC"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fldChar w:fldCharType="begin" w:fldLock="1"/>
            </w:r>
            <w:r w:rsidR="00B64B6D">
              <w:rPr>
                <w:rFonts w:ascii="Arial" w:hAnsi="Arial" w:cs="Arial"/>
                <w:sz w:val="22"/>
                <w:szCs w:val="22"/>
                <w:lang w:val="en-US"/>
              </w:rPr>
              <w:instrText xml:space="preserve"> ADDIN ZOTERO_ITEM CSL_CITATION {"citationID":"Ykxbltoz","properties":{"formattedCitation":"(Hall-Beyer, 2017)","plainCitation":"(Hall-Beyer, 2017)","noteIndex":0},"citationItems":[{"id":9098,"uris":["http://www.mendeley.com/documents/?uuid=dbd1b0d2-23e1-4bcd-a6af-398d0a931fb7","http://zotero.org/users/15080891/items/FTCU63PK"],"itemData":{"id":9098,"type":"article-journal","abstract":"Damaging effects of detonating high explosive charges of a few kilograms weight are only provided in the close proximity to the charge, even against soft target structures. The duration of the positive pressure pulse is very short, much less than 1 ms. It is virtually at least very difficult to measure the peak pressures and the pressure histories in these near distances resp. inside the fire ball for many different reasons. This means that any target structure in the near distance will be loaded not with the static pressure, but with a dynamic momentum, comparable to a ballistic pendulum. For this reason it is sufficient to determine the time integral, the momentum as a whole. Then only the impulse relates in these cases directly to the damaging effects. The momentum distribution of an on one-end initiated cylindrical high explosive charge is measured with the so-called momentum method which gives also high angle resolution. This high reproducible method has demonstrated that the radial momentum of a cylindrical charge increases drastically higher at nearer distances compared to diagonal directions. Strongly surprising is the difference of the momentum along the axis in the detonation direction, which is more than 10 times higher, compared to the rearward direction.","container-title":"17th International Symposium on Ballistics","issue":"March","page":"18-19","PMID":"103","title":"GLCM Texture: A Tutorial","volume":"2","author":[{"family":"Hall-Beyer","given":"Mryka"}],"issued":{"date-parts":[["2017"]]}}}],"schema":"https://github.com/citation-style-language/schema/raw/master/csl-citation.json"} </w:instrText>
            </w:r>
            <w:r w:rsidRPr="004C28BD">
              <w:rPr>
                <w:rFonts w:ascii="Arial" w:hAnsi="Arial" w:cs="Arial"/>
                <w:sz w:val="22"/>
                <w:szCs w:val="22"/>
                <w:lang w:val="en-US"/>
              </w:rPr>
              <w:fldChar w:fldCharType="separate"/>
            </w:r>
            <w:r w:rsidR="00B64B6D">
              <w:rPr>
                <w:rFonts w:ascii="Arial" w:hAnsi="Arial" w:cs="Arial"/>
                <w:noProof/>
                <w:sz w:val="22"/>
                <w:szCs w:val="22"/>
                <w:lang w:val="en-US"/>
              </w:rPr>
              <w:t>(Hall-Beyer, 2017)</w:t>
            </w:r>
            <w:r w:rsidRPr="004C28BD">
              <w:rPr>
                <w:rFonts w:ascii="Arial" w:hAnsi="Arial" w:cs="Arial"/>
                <w:sz w:val="22"/>
                <w:szCs w:val="22"/>
                <w:lang w:val="en-US"/>
              </w:rPr>
              <w:fldChar w:fldCharType="end"/>
            </w:r>
          </w:p>
        </w:tc>
      </w:tr>
      <w:tr w:rsidR="00FA6319" w:rsidRPr="004C28BD" w14:paraId="3093439D" w14:textId="77777777" w:rsidTr="00A74524">
        <w:trPr>
          <w:trHeight w:val="347"/>
        </w:trPr>
        <w:tc>
          <w:tcPr>
            <w:tcW w:w="1738" w:type="dxa"/>
            <w:noWrap/>
            <w:vAlign w:val="center"/>
            <w:hideMark/>
          </w:tcPr>
          <w:p w14:paraId="59A3A955" w14:textId="77777777" w:rsidR="00FA6319" w:rsidRPr="004C28BD" w:rsidRDefault="00FA6319" w:rsidP="00A74524">
            <w:pPr>
              <w:spacing w:line="276" w:lineRule="auto"/>
              <w:jc w:val="center"/>
              <w:rPr>
                <w:rFonts w:ascii="Arial" w:hAnsi="Arial" w:cs="Arial"/>
                <w:i/>
                <w:iCs/>
                <w:sz w:val="22"/>
                <w:szCs w:val="22"/>
                <w:lang w:val="en-US"/>
              </w:rPr>
            </w:pPr>
            <w:r w:rsidRPr="004C28BD">
              <w:rPr>
                <w:rFonts w:ascii="Arial" w:hAnsi="Arial" w:cs="Arial"/>
                <w:i/>
                <w:iCs/>
                <w:sz w:val="22"/>
                <w:szCs w:val="22"/>
                <w:lang w:val="en-US"/>
              </w:rPr>
              <w:t>Energy</w:t>
            </w:r>
          </w:p>
        </w:tc>
        <w:tc>
          <w:tcPr>
            <w:tcW w:w="2897" w:type="dxa"/>
            <w:vAlign w:val="center"/>
          </w:tcPr>
          <w:p w14:paraId="76A3F4E5" w14:textId="77777777" w:rsidR="00FA6319" w:rsidRPr="004C28BD" w:rsidRDefault="00000000" w:rsidP="00A74524">
            <w:pPr>
              <w:spacing w:line="276" w:lineRule="auto"/>
              <w:jc w:val="center"/>
              <w:rPr>
                <w:rFonts w:ascii="Arial" w:hAnsi="Arial" w:cs="Arial"/>
                <w:i/>
                <w:sz w:val="22"/>
                <w:szCs w:val="22"/>
                <w:lang w:val="en-US"/>
              </w:rPr>
            </w:pPr>
            <m:oMathPara>
              <m:oMath>
                <m:rad>
                  <m:radPr>
                    <m:degHide m:val="1"/>
                    <m:ctrlPr>
                      <w:rPr>
                        <w:rFonts w:ascii="Cambria Math" w:hAnsi="Cambria Math" w:cs="Arial"/>
                        <w:i/>
                        <w:sz w:val="22"/>
                        <w:szCs w:val="22"/>
                        <w:lang w:val="en-US"/>
                      </w:rPr>
                    </m:ctrlPr>
                  </m:radPr>
                  <m:deg/>
                  <m:e>
                    <m:r>
                      <w:rPr>
                        <w:rFonts w:ascii="Cambria Math" w:hAnsi="Cambria Math" w:cs="Arial"/>
                        <w:sz w:val="22"/>
                        <w:szCs w:val="22"/>
                        <w:lang w:val="en-US"/>
                      </w:rPr>
                      <m:t>ASM</m:t>
                    </m:r>
                  </m:e>
                </m:rad>
              </m:oMath>
            </m:oMathPara>
          </w:p>
        </w:tc>
        <w:tc>
          <w:tcPr>
            <w:tcW w:w="2326" w:type="dxa"/>
            <w:vAlign w:val="center"/>
          </w:tcPr>
          <w:p w14:paraId="0AF6FF4A"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t>Textural smoothness</w:t>
            </w:r>
          </w:p>
        </w:tc>
        <w:tc>
          <w:tcPr>
            <w:tcW w:w="2326" w:type="dxa"/>
            <w:vAlign w:val="center"/>
          </w:tcPr>
          <w:p w14:paraId="40AC645E"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fldChar w:fldCharType="begin" w:fldLock="1"/>
            </w:r>
            <w:r w:rsidR="00B64B6D">
              <w:rPr>
                <w:rFonts w:ascii="Arial" w:hAnsi="Arial" w:cs="Arial"/>
                <w:sz w:val="22"/>
                <w:szCs w:val="22"/>
                <w:lang w:val="en-US"/>
              </w:rPr>
              <w:instrText xml:space="preserve"> ADDIN ZOTERO_ITEM CSL_CITATION {"citationID":"TqW1AvWB","properties":{"formattedCitation":"(Hall-Beyer, 2017)","plainCitation":"(Hall-Beyer, 2017)","noteIndex":0},"citationItems":[{"id":9098,"uris":["http://www.mendeley.com/documents/?uuid=dbd1b0d2-23e1-4bcd-a6af-398d0a931fb7","http://zotero.org/users/15080891/items/FTCU63PK"],"itemData":{"id":9098,"type":"article-journal","abstract":"Damaging effects of detonating high explosive charges of a few kilograms weight are only provided in the close proximity to the charge, even against soft target structures. The duration of the positive pressure pulse is very short, much less than 1 ms. It is virtually at least very difficult to measure the peak pressures and the pressure histories in these near distances resp. inside the fire ball for many different reasons. This means that any target structure in the near distance will be loaded not with the static pressure, but with a dynamic momentum, comparable to a ballistic pendulum. For this reason it is sufficient to determine the time integral, the momentum as a whole. Then only the impulse relates in these cases directly to the damaging effects. The momentum distribution of an on one-end initiated cylindrical high explosive charge is measured with the so-called momentum method which gives also high angle resolution. This high reproducible method has demonstrated that the radial momentum of a cylindrical charge increases drastically higher at nearer distances compared to diagonal directions. Strongly surprising is the difference of the momentum along the axis in the detonation direction, which is more than 10 times higher, compared to the rearward direction.","container-title":"17th International Symposium on Ballistics","issue":"March","page":"18-19","PMID":"103","title":"GLCM Texture: A Tutorial","volume":"2","author":[{"family":"Hall-Beyer","given":"Mryka"}],"issued":{"date-parts":[["2017"]]}}}],"schema":"https://github.com/citation-style-language/schema/raw/master/csl-citation.json"} </w:instrText>
            </w:r>
            <w:r w:rsidRPr="004C28BD">
              <w:rPr>
                <w:rFonts w:ascii="Arial" w:hAnsi="Arial" w:cs="Arial"/>
                <w:sz w:val="22"/>
                <w:szCs w:val="22"/>
                <w:lang w:val="en-US"/>
              </w:rPr>
              <w:fldChar w:fldCharType="separate"/>
            </w:r>
            <w:r w:rsidR="00B64B6D">
              <w:rPr>
                <w:rFonts w:ascii="Arial" w:hAnsi="Arial" w:cs="Arial"/>
                <w:noProof/>
                <w:sz w:val="22"/>
                <w:szCs w:val="22"/>
                <w:lang w:val="en-US"/>
              </w:rPr>
              <w:t>(Hall-Beyer, 2017)</w:t>
            </w:r>
            <w:r w:rsidRPr="004C28BD">
              <w:rPr>
                <w:rFonts w:ascii="Arial" w:hAnsi="Arial" w:cs="Arial"/>
                <w:sz w:val="22"/>
                <w:szCs w:val="22"/>
                <w:lang w:val="en-US"/>
              </w:rPr>
              <w:fldChar w:fldCharType="end"/>
            </w:r>
          </w:p>
        </w:tc>
      </w:tr>
      <w:tr w:rsidR="00FA6319" w:rsidRPr="004C28BD" w14:paraId="049663B3" w14:textId="77777777" w:rsidTr="00A74524">
        <w:trPr>
          <w:cnfStyle w:val="000000100000" w:firstRow="0" w:lastRow="0" w:firstColumn="0" w:lastColumn="0" w:oddVBand="0" w:evenVBand="0" w:oddHBand="1" w:evenHBand="0" w:firstRowFirstColumn="0" w:firstRowLastColumn="0" w:lastRowFirstColumn="0" w:lastRowLastColumn="0"/>
          <w:trHeight w:val="347"/>
        </w:trPr>
        <w:tc>
          <w:tcPr>
            <w:tcW w:w="1738" w:type="dxa"/>
            <w:shd w:val="clear" w:color="auto" w:fill="auto"/>
            <w:noWrap/>
            <w:vAlign w:val="center"/>
            <w:hideMark/>
          </w:tcPr>
          <w:p w14:paraId="1C95B33B" w14:textId="77777777" w:rsidR="00FA6319" w:rsidRPr="004C28BD" w:rsidRDefault="00FA6319" w:rsidP="00A74524">
            <w:pPr>
              <w:spacing w:line="276" w:lineRule="auto"/>
              <w:jc w:val="center"/>
              <w:rPr>
                <w:rFonts w:ascii="Arial" w:hAnsi="Arial" w:cs="Arial"/>
                <w:i/>
                <w:iCs/>
                <w:sz w:val="22"/>
                <w:szCs w:val="22"/>
                <w:lang w:val="en-US"/>
              </w:rPr>
            </w:pPr>
            <w:r w:rsidRPr="004C28BD">
              <w:rPr>
                <w:rFonts w:ascii="Arial" w:hAnsi="Arial" w:cs="Arial"/>
                <w:i/>
                <w:iCs/>
                <w:sz w:val="22"/>
                <w:szCs w:val="22"/>
                <w:lang w:val="en-US"/>
              </w:rPr>
              <w:t>Correlation</w:t>
            </w:r>
          </w:p>
        </w:tc>
        <w:tc>
          <w:tcPr>
            <w:tcW w:w="2897" w:type="dxa"/>
            <w:shd w:val="clear" w:color="auto" w:fill="auto"/>
            <w:vAlign w:val="center"/>
          </w:tcPr>
          <w:p w14:paraId="3609A611" w14:textId="77777777" w:rsidR="00FA6319" w:rsidRPr="004C28BD" w:rsidRDefault="00000000" w:rsidP="00A74524">
            <w:pPr>
              <w:spacing w:line="276" w:lineRule="auto"/>
              <w:jc w:val="center"/>
              <w:rPr>
                <w:rFonts w:ascii="Arial" w:hAnsi="Arial" w:cs="Arial"/>
                <w:i/>
                <w:sz w:val="22"/>
                <w:szCs w:val="22"/>
                <w:lang w:val="en-US"/>
              </w:rPr>
            </w:pPr>
            <m:oMathPara>
              <m:oMath>
                <m:nary>
                  <m:naryPr>
                    <m:chr m:val="∑"/>
                    <m:ctrlPr>
                      <w:rPr>
                        <w:rFonts w:ascii="Cambria Math" w:hAnsi="Cambria Math" w:cs="Arial"/>
                        <w:sz w:val="22"/>
                        <w:szCs w:val="22"/>
                        <w:lang w:val="en-US"/>
                      </w:rPr>
                    </m:ctrlPr>
                  </m:naryPr>
                  <m:sub>
                    <m:r>
                      <w:rPr>
                        <w:rFonts w:ascii="Cambria Math" w:hAnsi="Cambria Math" w:cs="Arial"/>
                        <w:sz w:val="22"/>
                        <w:szCs w:val="22"/>
                        <w:lang w:val="en-US"/>
                      </w:rPr>
                      <m:t>i,j=0</m:t>
                    </m:r>
                    <m:ctrlPr>
                      <w:rPr>
                        <w:rFonts w:ascii="Cambria Math" w:hAnsi="Cambria Math" w:cs="Arial"/>
                        <w:i/>
                        <w:sz w:val="22"/>
                        <w:szCs w:val="22"/>
                        <w:lang w:val="en-US"/>
                      </w:rPr>
                    </m:ctrlPr>
                  </m:sub>
                  <m:sup>
                    <m:r>
                      <w:rPr>
                        <w:rFonts w:ascii="Cambria Math" w:hAnsi="Cambria Math" w:cs="Arial"/>
                        <w:sz w:val="22"/>
                        <w:szCs w:val="22"/>
                        <w:lang w:val="en-US"/>
                      </w:rPr>
                      <m:t>levels-1</m:t>
                    </m:r>
                    <m:ctrlPr>
                      <w:rPr>
                        <w:rFonts w:ascii="Cambria Math" w:hAnsi="Cambria Math" w:cs="Arial"/>
                        <w:i/>
                        <w:sz w:val="22"/>
                        <w:szCs w:val="22"/>
                        <w:lang w:val="en-US"/>
                      </w:rPr>
                    </m:ctrlPr>
                  </m:sup>
                  <m:e>
                    <m:sSubSup>
                      <m:sSubSupPr>
                        <m:ctrlPr>
                          <w:rPr>
                            <w:rFonts w:ascii="Cambria Math" w:hAnsi="Cambria Math" w:cs="Arial"/>
                            <w:i/>
                            <w:sz w:val="22"/>
                            <w:szCs w:val="22"/>
                            <w:lang w:val="en-US"/>
                          </w:rPr>
                        </m:ctrlPr>
                      </m:sSubSupPr>
                      <m:e>
                        <m:r>
                          <w:rPr>
                            <w:rFonts w:ascii="Cambria Math" w:hAnsi="Cambria Math" w:cs="Arial"/>
                            <w:sz w:val="22"/>
                            <w:szCs w:val="22"/>
                            <w:lang w:val="en-US"/>
                          </w:rPr>
                          <m:t>P</m:t>
                        </m:r>
                      </m:e>
                      <m:sub>
                        <m:r>
                          <w:rPr>
                            <w:rFonts w:ascii="Cambria Math" w:hAnsi="Cambria Math" w:cs="Arial"/>
                            <w:sz w:val="22"/>
                            <w:szCs w:val="22"/>
                            <w:lang w:val="en-US"/>
                          </w:rPr>
                          <m:t>d</m:t>
                        </m:r>
                      </m:sub>
                      <m:sup>
                        <m:r>
                          <w:rPr>
                            <w:rFonts w:ascii="Cambria Math" w:hAnsi="Cambria Math" w:cs="Arial"/>
                            <w:sz w:val="22"/>
                            <w:szCs w:val="22"/>
                            <w:lang w:val="en-US"/>
                          </w:rPr>
                          <m:t>θ</m:t>
                        </m:r>
                      </m:sup>
                    </m:sSubSup>
                    <m:d>
                      <m:dPr>
                        <m:begChr m:val="["/>
                        <m:endChr m:val="]"/>
                        <m:ctrlPr>
                          <w:rPr>
                            <w:rFonts w:ascii="Cambria Math" w:hAnsi="Cambria Math" w:cs="Arial"/>
                            <w:sz w:val="22"/>
                            <w:szCs w:val="22"/>
                            <w:lang w:val="en-US"/>
                          </w:rPr>
                        </m:ctrlPr>
                      </m:dPr>
                      <m:e>
                        <m:f>
                          <m:fPr>
                            <m:ctrlPr>
                              <w:rPr>
                                <w:rFonts w:ascii="Cambria Math" w:hAnsi="Cambria Math" w:cs="Arial"/>
                                <w:sz w:val="22"/>
                                <w:szCs w:val="22"/>
                                <w:lang w:val="en-US"/>
                              </w:rPr>
                            </m:ctrlPr>
                          </m:fPr>
                          <m:num>
                            <m:d>
                              <m:dPr>
                                <m:ctrlPr>
                                  <w:rPr>
                                    <w:rFonts w:ascii="Cambria Math" w:hAnsi="Cambria Math" w:cs="Arial"/>
                                    <w:i/>
                                    <w:sz w:val="22"/>
                                    <w:szCs w:val="22"/>
                                    <w:lang w:val="en-US"/>
                                  </w:rPr>
                                </m:ctrlPr>
                              </m:dPr>
                              <m:e>
                                <m:r>
                                  <w:rPr>
                                    <w:rFonts w:ascii="Cambria Math" w:hAnsi="Cambria Math" w:cs="Arial"/>
                                    <w:sz w:val="22"/>
                                    <w:szCs w:val="22"/>
                                    <w:lang w:val="en-US"/>
                                  </w:rPr>
                                  <m:t>i-</m:t>
                                </m:r>
                                <m:sSub>
                                  <m:sSubPr>
                                    <m:ctrlPr>
                                      <w:rPr>
                                        <w:rFonts w:ascii="Cambria Math" w:hAnsi="Cambria Math" w:cs="Arial"/>
                                        <w:i/>
                                        <w:sz w:val="22"/>
                                        <w:szCs w:val="22"/>
                                        <w:lang w:val="en-US"/>
                                      </w:rPr>
                                    </m:ctrlPr>
                                  </m:sSubPr>
                                  <m:e>
                                    <m:r>
                                      <m:rPr>
                                        <m:sty m:val="p"/>
                                      </m:rPr>
                                      <w:rPr>
                                        <w:rFonts w:ascii="Cambria Math" w:hAnsi="Cambria Math" w:cs="Arial"/>
                                        <w:sz w:val="22"/>
                                        <w:szCs w:val="22"/>
                                        <w:lang w:val="en-US"/>
                                      </w:rPr>
                                      <m:t>μ</m:t>
                                    </m:r>
                                  </m:e>
                                  <m:sub>
                                    <m:r>
                                      <w:rPr>
                                        <w:rFonts w:ascii="Cambria Math" w:hAnsi="Cambria Math" w:cs="Arial"/>
                                        <w:sz w:val="22"/>
                                        <w:szCs w:val="22"/>
                                        <w:lang w:val="en-US"/>
                                      </w:rPr>
                                      <m:t>i</m:t>
                                    </m:r>
                                  </m:sub>
                                </m:sSub>
                              </m:e>
                            </m:d>
                            <m:r>
                              <w:rPr>
                                <w:rFonts w:ascii="Cambria Math" w:hAnsi="Cambria Math" w:cs="Arial"/>
                                <w:sz w:val="22"/>
                                <w:szCs w:val="22"/>
                                <w:lang w:val="en-US"/>
                              </w:rPr>
                              <m:t> </m:t>
                            </m:r>
                            <m:d>
                              <m:dPr>
                                <m:ctrlPr>
                                  <w:rPr>
                                    <w:rFonts w:ascii="Cambria Math" w:hAnsi="Cambria Math" w:cs="Arial"/>
                                    <w:i/>
                                    <w:sz w:val="22"/>
                                    <w:szCs w:val="22"/>
                                    <w:lang w:val="en-US"/>
                                  </w:rPr>
                                </m:ctrlPr>
                              </m:dPr>
                              <m:e>
                                <m:r>
                                  <w:rPr>
                                    <w:rFonts w:ascii="Cambria Math" w:hAnsi="Cambria Math" w:cs="Arial"/>
                                    <w:sz w:val="22"/>
                                    <w:szCs w:val="22"/>
                                    <w:lang w:val="en-US"/>
                                  </w:rPr>
                                  <m:t>j-</m:t>
                                </m:r>
                                <m:sSub>
                                  <m:sSubPr>
                                    <m:ctrlPr>
                                      <w:rPr>
                                        <w:rFonts w:ascii="Cambria Math" w:hAnsi="Cambria Math" w:cs="Arial"/>
                                        <w:i/>
                                        <w:sz w:val="22"/>
                                        <w:szCs w:val="22"/>
                                        <w:lang w:val="en-US"/>
                                      </w:rPr>
                                    </m:ctrlPr>
                                  </m:sSubPr>
                                  <m:e>
                                    <m:r>
                                      <m:rPr>
                                        <m:sty m:val="p"/>
                                      </m:rPr>
                                      <w:rPr>
                                        <w:rFonts w:ascii="Cambria Math" w:hAnsi="Cambria Math" w:cs="Arial"/>
                                        <w:sz w:val="22"/>
                                        <w:szCs w:val="22"/>
                                        <w:lang w:val="en-US"/>
                                      </w:rPr>
                                      <m:t>μ</m:t>
                                    </m:r>
                                  </m:e>
                                  <m:sub>
                                    <m:r>
                                      <w:rPr>
                                        <w:rFonts w:ascii="Cambria Math" w:hAnsi="Cambria Math" w:cs="Arial"/>
                                        <w:sz w:val="22"/>
                                        <w:szCs w:val="22"/>
                                        <w:lang w:val="en-US"/>
                                      </w:rPr>
                                      <m:t>j</m:t>
                                    </m:r>
                                  </m:sub>
                                </m:sSub>
                              </m:e>
                            </m:d>
                            <m:ctrlPr>
                              <w:rPr>
                                <w:rFonts w:ascii="Cambria Math" w:hAnsi="Cambria Math" w:cs="Arial"/>
                                <w:i/>
                                <w:sz w:val="22"/>
                                <w:szCs w:val="22"/>
                                <w:lang w:val="en-US"/>
                              </w:rPr>
                            </m:ctrlPr>
                          </m:num>
                          <m:den>
                            <m:rad>
                              <m:radPr>
                                <m:degHide m:val="1"/>
                                <m:ctrlPr>
                                  <w:rPr>
                                    <w:rFonts w:ascii="Cambria Math" w:hAnsi="Cambria Math" w:cs="Arial"/>
                                    <w:sz w:val="22"/>
                                    <w:szCs w:val="22"/>
                                    <w:lang w:val="en-US"/>
                                  </w:rPr>
                                </m:ctrlPr>
                              </m:radPr>
                              <m:deg>
                                <m:ctrlPr>
                                  <w:rPr>
                                    <w:rFonts w:ascii="Cambria Math" w:hAnsi="Cambria Math" w:cs="Arial"/>
                                    <w:i/>
                                    <w:sz w:val="22"/>
                                    <w:szCs w:val="22"/>
                                    <w:lang w:val="en-US"/>
                                  </w:rPr>
                                </m:ctrlPr>
                              </m:deg>
                              <m:e>
                                <m:d>
                                  <m:dPr>
                                    <m:ctrlPr>
                                      <w:rPr>
                                        <w:rFonts w:ascii="Cambria Math" w:hAnsi="Cambria Math" w:cs="Arial"/>
                                        <w:i/>
                                        <w:sz w:val="22"/>
                                        <w:szCs w:val="22"/>
                                        <w:lang w:val="en-US"/>
                                      </w:rPr>
                                    </m:ctrlPr>
                                  </m:dPr>
                                  <m:e>
                                    <m:sSubSup>
                                      <m:sSubSupPr>
                                        <m:ctrlPr>
                                          <w:rPr>
                                            <w:rFonts w:ascii="Cambria Math" w:hAnsi="Cambria Math" w:cs="Arial"/>
                                            <w:i/>
                                            <w:sz w:val="22"/>
                                            <w:szCs w:val="22"/>
                                            <w:lang w:val="en-US"/>
                                          </w:rPr>
                                        </m:ctrlPr>
                                      </m:sSubSupPr>
                                      <m:e>
                                        <m:r>
                                          <m:rPr>
                                            <m:sty m:val="p"/>
                                          </m:rPr>
                                          <w:rPr>
                                            <w:rFonts w:ascii="Cambria Math" w:hAnsi="Cambria Math" w:cs="Arial"/>
                                            <w:sz w:val="22"/>
                                            <w:szCs w:val="22"/>
                                            <w:lang w:val="en-US"/>
                                          </w:rPr>
                                          <m:t>σ</m:t>
                                        </m:r>
                                      </m:e>
                                      <m:sub>
                                        <m:r>
                                          <w:rPr>
                                            <w:rFonts w:ascii="Cambria Math" w:hAnsi="Cambria Math" w:cs="Arial"/>
                                            <w:sz w:val="22"/>
                                            <w:szCs w:val="22"/>
                                            <w:lang w:val="en-US"/>
                                          </w:rPr>
                                          <m:t>i</m:t>
                                        </m:r>
                                      </m:sub>
                                      <m:sup>
                                        <m:r>
                                          <w:rPr>
                                            <w:rFonts w:ascii="Cambria Math" w:hAnsi="Cambria Math" w:cs="Arial"/>
                                            <w:sz w:val="22"/>
                                            <w:szCs w:val="22"/>
                                            <w:lang w:val="en-US"/>
                                          </w:rPr>
                                          <m:t>2</m:t>
                                        </m:r>
                                      </m:sup>
                                    </m:sSubSup>
                                  </m:e>
                                </m:d>
                                <m:d>
                                  <m:dPr>
                                    <m:ctrlPr>
                                      <w:rPr>
                                        <w:rFonts w:ascii="Cambria Math" w:hAnsi="Cambria Math" w:cs="Arial"/>
                                        <w:i/>
                                        <w:sz w:val="22"/>
                                        <w:szCs w:val="22"/>
                                        <w:lang w:val="en-US"/>
                                      </w:rPr>
                                    </m:ctrlPr>
                                  </m:dPr>
                                  <m:e>
                                    <m:sSubSup>
                                      <m:sSubSupPr>
                                        <m:ctrlPr>
                                          <w:rPr>
                                            <w:rFonts w:ascii="Cambria Math" w:hAnsi="Cambria Math" w:cs="Arial"/>
                                            <w:i/>
                                            <w:sz w:val="22"/>
                                            <w:szCs w:val="22"/>
                                            <w:lang w:val="en-US"/>
                                          </w:rPr>
                                        </m:ctrlPr>
                                      </m:sSubSupPr>
                                      <m:e>
                                        <m:r>
                                          <m:rPr>
                                            <m:sty m:val="p"/>
                                          </m:rPr>
                                          <w:rPr>
                                            <w:rFonts w:ascii="Cambria Math" w:hAnsi="Cambria Math" w:cs="Arial"/>
                                            <w:sz w:val="22"/>
                                            <w:szCs w:val="22"/>
                                            <w:lang w:val="en-US"/>
                                          </w:rPr>
                                          <m:t>σ</m:t>
                                        </m:r>
                                      </m:e>
                                      <m:sub>
                                        <m:r>
                                          <w:rPr>
                                            <w:rFonts w:ascii="Cambria Math" w:hAnsi="Cambria Math" w:cs="Arial"/>
                                            <w:sz w:val="22"/>
                                            <w:szCs w:val="22"/>
                                            <w:lang w:val="en-US"/>
                                          </w:rPr>
                                          <m:t>j</m:t>
                                        </m:r>
                                      </m:sub>
                                      <m:sup>
                                        <m:r>
                                          <w:rPr>
                                            <w:rFonts w:ascii="Cambria Math" w:hAnsi="Cambria Math" w:cs="Arial"/>
                                            <w:sz w:val="22"/>
                                            <w:szCs w:val="22"/>
                                            <w:lang w:val="en-US"/>
                                          </w:rPr>
                                          <m:t>2</m:t>
                                        </m:r>
                                      </m:sup>
                                    </m:sSubSup>
                                  </m:e>
                                </m:d>
                              </m:e>
                            </m:rad>
                            <m:ctrlPr>
                              <w:rPr>
                                <w:rFonts w:ascii="Cambria Math" w:hAnsi="Cambria Math" w:cs="Arial"/>
                                <w:i/>
                                <w:sz w:val="22"/>
                                <w:szCs w:val="22"/>
                                <w:lang w:val="en-US"/>
                              </w:rPr>
                            </m:ctrlPr>
                          </m:den>
                        </m:f>
                        <m:ctrlPr>
                          <w:rPr>
                            <w:rFonts w:ascii="Cambria Math" w:hAnsi="Cambria Math" w:cs="Arial"/>
                            <w:i/>
                            <w:sz w:val="22"/>
                            <w:szCs w:val="22"/>
                            <w:lang w:val="en-US"/>
                          </w:rPr>
                        </m:ctrlPr>
                      </m:e>
                    </m:d>
                    <m:ctrlPr>
                      <w:rPr>
                        <w:rFonts w:ascii="Cambria Math" w:hAnsi="Cambria Math" w:cs="Arial"/>
                        <w:i/>
                        <w:sz w:val="22"/>
                        <w:szCs w:val="22"/>
                        <w:lang w:val="en-US"/>
                      </w:rPr>
                    </m:ctrlPr>
                  </m:e>
                </m:nary>
              </m:oMath>
            </m:oMathPara>
          </w:p>
        </w:tc>
        <w:tc>
          <w:tcPr>
            <w:tcW w:w="2326" w:type="dxa"/>
            <w:shd w:val="clear" w:color="auto" w:fill="auto"/>
            <w:vAlign w:val="center"/>
          </w:tcPr>
          <w:p w14:paraId="2B34A688"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t>Textural smoothness</w:t>
            </w:r>
          </w:p>
        </w:tc>
        <w:tc>
          <w:tcPr>
            <w:tcW w:w="2326" w:type="dxa"/>
            <w:shd w:val="clear" w:color="auto" w:fill="auto"/>
            <w:vAlign w:val="center"/>
          </w:tcPr>
          <w:p w14:paraId="1DE56668"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fldChar w:fldCharType="begin" w:fldLock="1"/>
            </w:r>
            <w:r w:rsidR="00B64B6D">
              <w:rPr>
                <w:rFonts w:ascii="Arial" w:hAnsi="Arial" w:cs="Arial"/>
                <w:sz w:val="22"/>
                <w:szCs w:val="22"/>
                <w:lang w:val="en-US"/>
              </w:rPr>
              <w:instrText xml:space="preserve"> ADDIN ZOTERO_ITEM CSL_CITATION {"citationID":"N8XhGgYC","properties":{"formattedCitation":"(Hall-Beyer, 2017)","plainCitation":"(Hall-Beyer, 2017)","noteIndex":0},"citationItems":[{"id":9098,"uris":["http://www.mendeley.com/documents/?uuid=dbd1b0d2-23e1-4bcd-a6af-398d0a931fb7","http://zotero.org/users/15080891/items/FTCU63PK"],"itemData":{"id":9098,"type":"article-journal","abstract":"Damaging effects of detonating high explosive charges of a few kilograms weight are only provided in the close proximity to the charge, even against soft target structures. The duration of the positive pressure pulse is very short, much less than 1 ms. It is virtually at least very difficult to measure the peak pressures and the pressure histories in these near distances resp. inside the fire ball for many different reasons. This means that any target structure in the near distance will be loaded not with the static pressure, but with a dynamic momentum, comparable to a ballistic pendulum. For this reason it is sufficient to determine the time integral, the momentum as a whole. Then only the impulse relates in these cases directly to the damaging effects. The momentum distribution of an on one-end initiated cylindrical high explosive charge is measured with the so-called momentum method which gives also high angle resolution. This high reproducible method has demonstrated that the radial momentum of a cylindrical charge increases drastically higher at nearer distances compared to diagonal directions. Strongly surprising is the difference of the momentum along the axis in the detonation direction, which is more than 10 times higher, compared to the rearward direction.","container-title":"17th International Symposium on Ballistics","issue":"March","page":"18-19","PMID":"103","title":"GLCM Texture: A Tutorial","volume":"2","author":[{"family":"Hall-Beyer","given":"Mryka"}],"issued":{"date-parts":[["2017"]]}}}],"schema":"https://github.com/citation-style-language/schema/raw/master/csl-citation.json"} </w:instrText>
            </w:r>
            <w:r w:rsidRPr="004C28BD">
              <w:rPr>
                <w:rFonts w:ascii="Arial" w:hAnsi="Arial" w:cs="Arial"/>
                <w:sz w:val="22"/>
                <w:szCs w:val="22"/>
                <w:lang w:val="en-US"/>
              </w:rPr>
              <w:fldChar w:fldCharType="separate"/>
            </w:r>
            <w:r w:rsidR="00B64B6D">
              <w:rPr>
                <w:rFonts w:ascii="Arial" w:hAnsi="Arial" w:cs="Arial"/>
                <w:noProof/>
                <w:sz w:val="22"/>
                <w:szCs w:val="22"/>
                <w:lang w:val="en-US"/>
              </w:rPr>
              <w:t>(Hall-Beyer, 2017)</w:t>
            </w:r>
            <w:r w:rsidRPr="004C28BD">
              <w:rPr>
                <w:rFonts w:ascii="Arial" w:hAnsi="Arial" w:cs="Arial"/>
                <w:sz w:val="22"/>
                <w:szCs w:val="22"/>
                <w:lang w:val="en-US"/>
              </w:rPr>
              <w:fldChar w:fldCharType="end"/>
            </w:r>
          </w:p>
        </w:tc>
      </w:tr>
      <w:tr w:rsidR="00FA6319" w:rsidRPr="004C28BD" w14:paraId="0225C756" w14:textId="77777777" w:rsidTr="00A74524">
        <w:trPr>
          <w:trHeight w:val="347"/>
        </w:trPr>
        <w:tc>
          <w:tcPr>
            <w:tcW w:w="1738" w:type="dxa"/>
            <w:noWrap/>
            <w:vAlign w:val="center"/>
            <w:hideMark/>
          </w:tcPr>
          <w:p w14:paraId="187B7B2F" w14:textId="77777777" w:rsidR="00FA6319" w:rsidRPr="004C28BD" w:rsidRDefault="00FA6319" w:rsidP="00A74524">
            <w:pPr>
              <w:spacing w:line="276" w:lineRule="auto"/>
              <w:jc w:val="center"/>
              <w:rPr>
                <w:rFonts w:ascii="Arial" w:hAnsi="Arial" w:cs="Arial"/>
                <w:i/>
                <w:iCs/>
                <w:sz w:val="22"/>
                <w:szCs w:val="22"/>
                <w:lang w:val="en-US"/>
              </w:rPr>
            </w:pPr>
            <w:r w:rsidRPr="004C28BD">
              <w:rPr>
                <w:rFonts w:ascii="Arial" w:hAnsi="Arial" w:cs="Arial"/>
                <w:i/>
                <w:iCs/>
                <w:sz w:val="22"/>
                <w:szCs w:val="22"/>
                <w:lang w:val="en-US"/>
              </w:rPr>
              <w:t>Channel</w:t>
            </w:r>
            <w:r w:rsidRPr="004C28BD">
              <w:rPr>
                <w:rFonts w:ascii="Arial" w:hAnsi="Arial" w:cs="Arial"/>
                <w:i/>
                <w:iCs/>
                <w:sz w:val="22"/>
                <w:szCs w:val="22"/>
                <w:vertAlign w:val="superscript"/>
                <w:lang w:val="en-US"/>
              </w:rPr>
              <w:t>1</w:t>
            </w:r>
            <w:r w:rsidRPr="004C28BD">
              <w:rPr>
                <w:rFonts w:ascii="Arial" w:hAnsi="Arial" w:cs="Arial"/>
                <w:i/>
                <w:iCs/>
                <w:sz w:val="22"/>
                <w:szCs w:val="22"/>
                <w:lang w:val="en-US"/>
              </w:rPr>
              <w:t xml:space="preserve"> mean</w:t>
            </w:r>
          </w:p>
        </w:tc>
        <w:tc>
          <w:tcPr>
            <w:tcW w:w="2897" w:type="dxa"/>
            <w:vAlign w:val="center"/>
          </w:tcPr>
          <w:p w14:paraId="5431738B" w14:textId="77777777" w:rsidR="00FA6319" w:rsidRPr="004C28BD" w:rsidRDefault="00000000" w:rsidP="00A74524">
            <w:pPr>
              <w:spacing w:line="276" w:lineRule="auto"/>
              <w:jc w:val="center"/>
              <w:rPr>
                <w:rFonts w:ascii="Arial" w:hAnsi="Arial" w:cs="Arial"/>
                <w:sz w:val="22"/>
                <w:szCs w:val="22"/>
                <w:lang w:val="en-US"/>
              </w:rPr>
            </w:pPr>
            <m:oMathPara>
              <m:oMath>
                <m:f>
                  <m:fPr>
                    <m:ctrlPr>
                      <w:rPr>
                        <w:rFonts w:ascii="Cambria Math" w:hAnsi="Cambria Math" w:cs="Arial"/>
                        <w:b/>
                        <w:bCs/>
                        <w:sz w:val="22"/>
                        <w:szCs w:val="22"/>
                        <w:lang w:val="en-US"/>
                      </w:rPr>
                    </m:ctrlPr>
                  </m:fPr>
                  <m:num>
                    <m:r>
                      <m:rPr>
                        <m:sty m:val="p"/>
                      </m:rPr>
                      <w:rPr>
                        <w:rFonts w:ascii="Cambria Math" w:hAnsi="Cambria Math" w:cs="Arial"/>
                        <w:sz w:val="22"/>
                        <w:szCs w:val="22"/>
                        <w:lang w:val="en-US"/>
                      </w:rPr>
                      <m:t>1</m:t>
                    </m:r>
                  </m:num>
                  <m:den>
                    <m:r>
                      <w:rPr>
                        <w:rFonts w:ascii="Cambria Math" w:hAnsi="Cambria Math" w:cs="Arial"/>
                        <w:sz w:val="22"/>
                        <w:szCs w:val="22"/>
                        <w:lang w:val="en-US"/>
                      </w:rPr>
                      <m:t>N</m:t>
                    </m:r>
                  </m:den>
                </m:f>
                <m:nary>
                  <m:naryPr>
                    <m:chr m:val="∑"/>
                    <m:ctrlPr>
                      <w:rPr>
                        <w:rFonts w:ascii="Cambria Math" w:hAnsi="Cambria Math" w:cs="Arial"/>
                        <w:sz w:val="22"/>
                        <w:szCs w:val="22"/>
                        <w:lang w:val="en-US"/>
                      </w:rPr>
                    </m:ctrlPr>
                  </m:naryPr>
                  <m:sub>
                    <m:r>
                      <w:rPr>
                        <w:rFonts w:ascii="Cambria Math" w:hAnsi="Cambria Math" w:cs="Arial"/>
                        <w:sz w:val="22"/>
                        <w:szCs w:val="22"/>
                        <w:lang w:val="en-US"/>
                      </w:rPr>
                      <m:t>i</m:t>
                    </m:r>
                    <m:r>
                      <m:rPr>
                        <m:sty m:val="p"/>
                      </m:rPr>
                      <w:rPr>
                        <w:rFonts w:ascii="Cambria Math" w:hAnsi="Cambria Math" w:cs="Arial"/>
                        <w:sz w:val="22"/>
                        <w:szCs w:val="22"/>
                        <w:lang w:val="en-US"/>
                      </w:rPr>
                      <m:t>=</m:t>
                    </m:r>
                    <m:r>
                      <w:rPr>
                        <w:rFonts w:ascii="Cambria Math" w:hAnsi="Cambria Math" w:cs="Arial"/>
                        <w:sz w:val="22"/>
                        <w:szCs w:val="22"/>
                        <w:lang w:val="en-US"/>
                      </w:rPr>
                      <m:t>i</m:t>
                    </m:r>
                  </m:sub>
                  <m:sup>
                    <m:r>
                      <w:rPr>
                        <w:rFonts w:ascii="Cambria Math" w:hAnsi="Cambria Math" w:cs="Arial"/>
                        <w:sz w:val="22"/>
                        <w:szCs w:val="22"/>
                        <w:lang w:val="en-US"/>
                      </w:rPr>
                      <m:t>n</m:t>
                    </m:r>
                  </m:sup>
                  <m:e>
                    <m:sSub>
                      <m:sSubPr>
                        <m:ctrlPr>
                          <w:rPr>
                            <w:rFonts w:ascii="Cambria Math" w:hAnsi="Cambria Math" w:cs="Arial"/>
                            <w:sz w:val="22"/>
                            <w:szCs w:val="22"/>
                            <w:lang w:val="en-US"/>
                          </w:rPr>
                        </m:ctrlPr>
                      </m:sSubPr>
                      <m:e>
                        <m:r>
                          <w:rPr>
                            <w:rFonts w:ascii="Cambria Math" w:hAnsi="Cambria Math" w:cs="Arial"/>
                            <w:sz w:val="22"/>
                            <w:szCs w:val="22"/>
                            <w:lang w:val="en-US"/>
                          </w:rPr>
                          <m:t>x</m:t>
                        </m:r>
                      </m:e>
                      <m:sub>
                        <m:r>
                          <w:rPr>
                            <w:rFonts w:ascii="Cambria Math" w:hAnsi="Cambria Math" w:cs="Arial"/>
                            <w:sz w:val="22"/>
                            <w:szCs w:val="22"/>
                            <w:lang w:val="en-US"/>
                          </w:rPr>
                          <m:t>i</m:t>
                        </m:r>
                      </m:sub>
                    </m:sSub>
                  </m:e>
                </m:nary>
              </m:oMath>
            </m:oMathPara>
          </w:p>
          <w:p w14:paraId="082A818D" w14:textId="77777777" w:rsidR="00FA6319" w:rsidRPr="004C28BD" w:rsidRDefault="00FA6319" w:rsidP="00A74524">
            <w:pPr>
              <w:spacing w:line="276" w:lineRule="auto"/>
              <w:jc w:val="center"/>
              <w:rPr>
                <w:rFonts w:ascii="Arial" w:hAnsi="Arial" w:cs="Arial"/>
                <w:i/>
                <w:sz w:val="22"/>
                <w:szCs w:val="22"/>
                <w:lang w:val="en-US"/>
              </w:rPr>
            </w:pPr>
          </w:p>
        </w:tc>
        <w:tc>
          <w:tcPr>
            <w:tcW w:w="2326" w:type="dxa"/>
            <w:vAlign w:val="center"/>
          </w:tcPr>
          <w:p w14:paraId="61B8C0D5"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t>Average pixel intensity</w:t>
            </w:r>
          </w:p>
        </w:tc>
        <w:tc>
          <w:tcPr>
            <w:tcW w:w="2326" w:type="dxa"/>
            <w:vAlign w:val="center"/>
          </w:tcPr>
          <w:p w14:paraId="07CA9794"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fldChar w:fldCharType="begin" w:fldLock="1"/>
            </w:r>
            <w:r w:rsidR="00B64B6D">
              <w:rPr>
                <w:rFonts w:ascii="Arial" w:hAnsi="Arial" w:cs="Arial"/>
                <w:sz w:val="22"/>
                <w:szCs w:val="22"/>
                <w:lang w:val="en-US"/>
              </w:rPr>
              <w:instrText xml:space="preserve"> ADDIN ZOTERO_ITEM CSL_CITATION {"citationID":"bIn7qYyM","properties":{"formattedCitation":"(Maitre et al., 2019)","plainCitation":"(Maitre et al., 2019)","noteIndex":0},"citationItems":[{"id":8439,"uris":["http://www.mendeley.com/documents/?uuid=dbe1d04e-c7a4-4f9a-ab50-c5801d627c21","http://zotero.org/users/15080891/items/NI2YE468"],"itemData":{"id":8439,"type":"article-journal","abstract":"Identifying and counting individual mineral grains composing sand is an important component of many studies in environment, engineering, mineral exploration, ore processing and the foundation of geometallurgy. Typically, silt (32–128μm) and sand (128–1000μm) sized grains will be characterized under an optical microscope or a scanning electron microscope. In both cases, it is a tedious and costly process. Therefore, in this paper, we introduce an original computational approach in order to automate mineral grains recognition from numerical images obtained with a simple optical microscope. To the best of our knowledge, it is the first time that the current computer vision based on machine learning algorithms is tested for the automated recognition of such mineral grains. In more details, this work uses the simple linear iterative clustering segmentation to generate superpixels and many of them allow isolating sand grains, which is not possible with classical segmentation methods. Also, the approach has been tested using convolutional neural networks (CNNs). However, CNNs did not give as good results as the superpixels method. The superpixels are also exploited to extract features related to a sand grain. These image characteristics form the raw dataset. Prior to proceed with the classification, a data cleaning stage is necessary to get a usable dataset for machine learning algorithms. In addition, we present a comparison of performances of several algorithms. The overall obtained results are approximately 90% and demonstrate the concept of mineral recognition from a sample of sand grains provided by a numerical image.","container-title":"Computers and Geosciences","DOI":"10.1016/j.cageo.2019.05.009","ISSN":"00983004","issue":"May","page":"84-93","publisher":"Elsevier Ltd","title":"Mineral grains recognition using computer vision and machine learning","volume":"130","author":[{"family":"Maitre","given":"Julien"},{"family":"Bouchard","given":"Kévin"},{"family":"Bédard","given":"L. Paul"}],"issued":{"date-parts":[["2019"]]}}}],"schema":"https://github.com/citation-style-language/schema/raw/master/csl-citation.json"} </w:instrText>
            </w:r>
            <w:r w:rsidRPr="004C28BD">
              <w:rPr>
                <w:rFonts w:ascii="Arial" w:hAnsi="Arial" w:cs="Arial"/>
                <w:sz w:val="22"/>
                <w:szCs w:val="22"/>
                <w:lang w:val="en-US"/>
              </w:rPr>
              <w:fldChar w:fldCharType="separate"/>
            </w:r>
            <w:r w:rsidR="00B64B6D">
              <w:rPr>
                <w:rFonts w:ascii="Arial" w:hAnsi="Arial" w:cs="Arial"/>
                <w:noProof/>
                <w:sz w:val="22"/>
                <w:szCs w:val="22"/>
                <w:lang w:val="en-US"/>
              </w:rPr>
              <w:t>(Maitre et al., 2019)</w:t>
            </w:r>
            <w:r w:rsidRPr="004C28BD">
              <w:rPr>
                <w:rFonts w:ascii="Arial" w:hAnsi="Arial" w:cs="Arial"/>
                <w:sz w:val="22"/>
                <w:szCs w:val="22"/>
                <w:lang w:val="en-US"/>
              </w:rPr>
              <w:fldChar w:fldCharType="end"/>
            </w:r>
          </w:p>
        </w:tc>
      </w:tr>
      <w:tr w:rsidR="00FA6319" w:rsidRPr="004C28BD" w14:paraId="5B2E0F68" w14:textId="77777777" w:rsidTr="00A74524">
        <w:trPr>
          <w:cnfStyle w:val="000000100000" w:firstRow="0" w:lastRow="0" w:firstColumn="0" w:lastColumn="0" w:oddVBand="0" w:evenVBand="0" w:oddHBand="1" w:evenHBand="0" w:firstRowFirstColumn="0" w:firstRowLastColumn="0" w:lastRowFirstColumn="0" w:lastRowLastColumn="0"/>
          <w:trHeight w:val="347"/>
        </w:trPr>
        <w:tc>
          <w:tcPr>
            <w:tcW w:w="1738" w:type="dxa"/>
            <w:shd w:val="clear" w:color="auto" w:fill="auto"/>
            <w:noWrap/>
            <w:vAlign w:val="center"/>
            <w:hideMark/>
          </w:tcPr>
          <w:p w14:paraId="7E5CD50D" w14:textId="77777777" w:rsidR="00FA6319" w:rsidRPr="004C28BD" w:rsidRDefault="00FA6319" w:rsidP="00A74524">
            <w:pPr>
              <w:spacing w:line="276" w:lineRule="auto"/>
              <w:jc w:val="center"/>
              <w:rPr>
                <w:rFonts w:ascii="Arial" w:hAnsi="Arial" w:cs="Arial"/>
                <w:i/>
                <w:iCs/>
                <w:sz w:val="22"/>
                <w:szCs w:val="22"/>
                <w:lang w:val="en-US"/>
              </w:rPr>
            </w:pPr>
            <w:r w:rsidRPr="004C28BD">
              <w:rPr>
                <w:rFonts w:ascii="Arial" w:hAnsi="Arial" w:cs="Arial"/>
                <w:i/>
                <w:iCs/>
                <w:sz w:val="22"/>
                <w:szCs w:val="22"/>
                <w:lang w:val="en-US"/>
              </w:rPr>
              <w:t>Channel standard dev</w:t>
            </w:r>
          </w:p>
        </w:tc>
        <w:tc>
          <w:tcPr>
            <w:tcW w:w="2897" w:type="dxa"/>
            <w:shd w:val="clear" w:color="auto" w:fill="auto"/>
            <w:vAlign w:val="center"/>
          </w:tcPr>
          <w:p w14:paraId="4A665760" w14:textId="77777777" w:rsidR="00FA6319" w:rsidRPr="004C28BD" w:rsidRDefault="00000000" w:rsidP="00A74524">
            <w:pPr>
              <w:spacing w:line="276" w:lineRule="auto"/>
              <w:jc w:val="center"/>
              <w:rPr>
                <w:rFonts w:ascii="Arial" w:hAnsi="Arial" w:cs="Arial"/>
                <w:sz w:val="22"/>
                <w:szCs w:val="22"/>
                <w:lang w:val="en-US"/>
              </w:rPr>
            </w:pPr>
            <m:oMathPara>
              <m:oMath>
                <m:rad>
                  <m:radPr>
                    <m:degHide m:val="1"/>
                    <m:ctrlPr>
                      <w:rPr>
                        <w:rFonts w:ascii="Cambria Math" w:hAnsi="Cambria Math" w:cs="Arial"/>
                        <w:sz w:val="22"/>
                        <w:szCs w:val="22"/>
                        <w:lang w:val="en-US"/>
                      </w:rPr>
                    </m:ctrlPr>
                  </m:radPr>
                  <m:deg>
                    <m:ctrlPr>
                      <w:rPr>
                        <w:rFonts w:ascii="Cambria Math" w:hAnsi="Cambria Math" w:cs="Arial"/>
                        <w:i/>
                        <w:sz w:val="22"/>
                        <w:szCs w:val="22"/>
                        <w:lang w:val="en-US"/>
                      </w:rPr>
                    </m:ctrlPr>
                  </m:deg>
                  <m:e>
                    <m:f>
                      <m:fPr>
                        <m:ctrlPr>
                          <w:rPr>
                            <w:rFonts w:ascii="Cambria Math" w:hAnsi="Cambria Math" w:cs="Arial"/>
                            <w:sz w:val="22"/>
                            <w:szCs w:val="22"/>
                            <w:lang w:val="en-US"/>
                          </w:rPr>
                        </m:ctrlPr>
                      </m:fPr>
                      <m:num>
                        <m:r>
                          <w:rPr>
                            <w:rFonts w:ascii="Cambria Math" w:hAnsi="Cambria Math" w:cs="Arial"/>
                            <w:sz w:val="22"/>
                            <w:szCs w:val="22"/>
                            <w:lang w:val="en-US"/>
                          </w:rPr>
                          <m:t>1</m:t>
                        </m:r>
                        <m:ctrlPr>
                          <w:rPr>
                            <w:rFonts w:ascii="Cambria Math" w:hAnsi="Cambria Math" w:cs="Arial"/>
                            <w:i/>
                            <w:sz w:val="22"/>
                            <w:szCs w:val="22"/>
                            <w:lang w:val="en-US"/>
                          </w:rPr>
                        </m:ctrlPr>
                      </m:num>
                      <m:den>
                        <m:r>
                          <w:rPr>
                            <w:rFonts w:ascii="Cambria Math" w:hAnsi="Cambria Math" w:cs="Arial"/>
                            <w:sz w:val="22"/>
                            <w:szCs w:val="22"/>
                            <w:lang w:val="en-US"/>
                          </w:rPr>
                          <m:t>N-1</m:t>
                        </m:r>
                        <m:ctrlPr>
                          <w:rPr>
                            <w:rFonts w:ascii="Cambria Math" w:hAnsi="Cambria Math" w:cs="Arial"/>
                            <w:i/>
                            <w:sz w:val="22"/>
                            <w:szCs w:val="22"/>
                            <w:lang w:val="en-US"/>
                          </w:rPr>
                        </m:ctrlPr>
                      </m:den>
                    </m:f>
                    <m:nary>
                      <m:naryPr>
                        <m:chr m:val="∑"/>
                        <m:ctrlPr>
                          <w:rPr>
                            <w:rFonts w:ascii="Cambria Math" w:hAnsi="Cambria Math" w:cs="Arial"/>
                            <w:sz w:val="22"/>
                            <w:szCs w:val="22"/>
                            <w:lang w:val="en-US"/>
                          </w:rPr>
                        </m:ctrlPr>
                      </m:naryPr>
                      <m:sub>
                        <m:r>
                          <w:rPr>
                            <w:rFonts w:ascii="Cambria Math" w:hAnsi="Cambria Math" w:cs="Arial"/>
                            <w:sz w:val="22"/>
                            <w:szCs w:val="22"/>
                            <w:lang w:val="en-US"/>
                          </w:rPr>
                          <m:t>i=1</m:t>
                        </m:r>
                        <m:ctrlPr>
                          <w:rPr>
                            <w:rFonts w:ascii="Cambria Math" w:hAnsi="Cambria Math" w:cs="Arial"/>
                            <w:i/>
                            <w:sz w:val="22"/>
                            <w:szCs w:val="22"/>
                            <w:lang w:val="en-US"/>
                          </w:rPr>
                        </m:ctrlPr>
                      </m:sub>
                      <m:sup>
                        <m:r>
                          <w:rPr>
                            <w:rFonts w:ascii="Cambria Math" w:hAnsi="Cambria Math" w:cs="Arial"/>
                            <w:sz w:val="22"/>
                            <w:szCs w:val="22"/>
                            <w:lang w:val="en-US"/>
                          </w:rPr>
                          <m:t>N</m:t>
                        </m:r>
                        <m:ctrlPr>
                          <w:rPr>
                            <w:rFonts w:ascii="Cambria Math" w:hAnsi="Cambria Math" w:cs="Arial"/>
                            <w:i/>
                            <w:sz w:val="22"/>
                            <w:szCs w:val="22"/>
                            <w:lang w:val="en-US"/>
                          </w:rPr>
                        </m:ctrlPr>
                      </m:sup>
                      <m:e>
                        <m:sSup>
                          <m:sSupPr>
                            <m:ctrlPr>
                              <w:rPr>
                                <w:rFonts w:ascii="Cambria Math" w:hAnsi="Cambria Math" w:cs="Arial"/>
                                <w:i/>
                                <w:sz w:val="22"/>
                                <w:szCs w:val="22"/>
                                <w:lang w:val="en-US"/>
                              </w:rPr>
                            </m:ctrlPr>
                          </m:sSupPr>
                          <m:e>
                            <m:d>
                              <m:dPr>
                                <m:ctrlPr>
                                  <w:rPr>
                                    <w:rFonts w:ascii="Cambria Math" w:hAnsi="Cambria Math" w:cs="Arial"/>
                                    <w:i/>
                                    <w:sz w:val="22"/>
                                    <w:szCs w:val="22"/>
                                    <w:lang w:val="en-US"/>
                                  </w:rPr>
                                </m:ctrlPr>
                              </m:dPr>
                              <m:e>
                                <m:sSub>
                                  <m:sSubPr>
                                    <m:ctrlPr>
                                      <w:rPr>
                                        <w:rFonts w:ascii="Cambria Math" w:hAnsi="Cambria Math" w:cs="Arial"/>
                                        <w:i/>
                                        <w:sz w:val="22"/>
                                        <w:szCs w:val="22"/>
                                        <w:lang w:val="en-US"/>
                                      </w:rPr>
                                    </m:ctrlPr>
                                  </m:sSubPr>
                                  <m:e>
                                    <m:r>
                                      <w:rPr>
                                        <w:rFonts w:ascii="Cambria Math" w:hAnsi="Cambria Math" w:cs="Arial"/>
                                        <w:sz w:val="22"/>
                                        <w:szCs w:val="22"/>
                                        <w:lang w:val="en-US"/>
                                      </w:rPr>
                                      <m:t>x</m:t>
                                    </m:r>
                                  </m:e>
                                  <m:sub>
                                    <m:r>
                                      <w:rPr>
                                        <w:rFonts w:ascii="Cambria Math" w:hAnsi="Cambria Math" w:cs="Arial"/>
                                        <w:sz w:val="22"/>
                                        <w:szCs w:val="22"/>
                                        <w:lang w:val="en-US"/>
                                      </w:rPr>
                                      <m:t>i</m:t>
                                    </m:r>
                                  </m:sub>
                                </m:sSub>
                                <m:r>
                                  <w:rPr>
                                    <w:rFonts w:ascii="Cambria Math" w:hAnsi="Cambria Math" w:cs="Arial"/>
                                    <w:sz w:val="22"/>
                                    <w:szCs w:val="22"/>
                                    <w:lang w:val="en-US"/>
                                  </w:rPr>
                                  <m:t>-</m:t>
                                </m:r>
                                <m:bar>
                                  <m:barPr>
                                    <m:pos m:val="top"/>
                                    <m:ctrlPr>
                                      <w:rPr>
                                        <w:rFonts w:ascii="Cambria Math" w:hAnsi="Cambria Math" w:cs="Arial"/>
                                        <w:sz w:val="22"/>
                                        <w:szCs w:val="22"/>
                                        <w:lang w:val="en-US"/>
                                      </w:rPr>
                                    </m:ctrlPr>
                                  </m:barPr>
                                  <m:e>
                                    <m:r>
                                      <w:rPr>
                                        <w:rFonts w:ascii="Cambria Math" w:hAnsi="Cambria Math" w:cs="Arial"/>
                                        <w:sz w:val="22"/>
                                        <w:szCs w:val="22"/>
                                        <w:lang w:val="en-US"/>
                                      </w:rPr>
                                      <m:t>x</m:t>
                                    </m:r>
                                  </m:e>
                                </m:bar>
                              </m:e>
                            </m:d>
                          </m:e>
                          <m:sup>
                            <m:r>
                              <w:rPr>
                                <w:rFonts w:ascii="Cambria Math" w:hAnsi="Cambria Math" w:cs="Arial"/>
                                <w:sz w:val="22"/>
                                <w:szCs w:val="22"/>
                                <w:lang w:val="en-US"/>
                              </w:rPr>
                              <m:t>2</m:t>
                            </m:r>
                          </m:sup>
                        </m:sSup>
                        <m:ctrlPr>
                          <w:rPr>
                            <w:rFonts w:ascii="Cambria Math" w:hAnsi="Cambria Math" w:cs="Arial"/>
                            <w:i/>
                            <w:sz w:val="22"/>
                            <w:szCs w:val="22"/>
                            <w:lang w:val="en-US"/>
                          </w:rPr>
                        </m:ctrlPr>
                      </m:e>
                    </m:nary>
                  </m:e>
                </m:rad>
              </m:oMath>
            </m:oMathPara>
          </w:p>
          <w:p w14:paraId="5332CDD3" w14:textId="77777777" w:rsidR="00FA6319" w:rsidRPr="004C28BD" w:rsidRDefault="00FA6319" w:rsidP="00A74524">
            <w:pPr>
              <w:spacing w:line="276" w:lineRule="auto"/>
              <w:jc w:val="center"/>
              <w:rPr>
                <w:rFonts w:ascii="Arial" w:hAnsi="Arial" w:cs="Arial"/>
                <w:i/>
                <w:sz w:val="22"/>
                <w:szCs w:val="22"/>
                <w:lang w:val="en-US"/>
              </w:rPr>
            </w:pPr>
          </w:p>
        </w:tc>
        <w:tc>
          <w:tcPr>
            <w:tcW w:w="2326" w:type="dxa"/>
            <w:shd w:val="clear" w:color="auto" w:fill="auto"/>
            <w:vAlign w:val="center"/>
          </w:tcPr>
          <w:p w14:paraId="5F0EEA39"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t>Pixel intensity variation</w:t>
            </w:r>
          </w:p>
        </w:tc>
        <w:tc>
          <w:tcPr>
            <w:tcW w:w="2326" w:type="dxa"/>
            <w:shd w:val="clear" w:color="auto" w:fill="auto"/>
            <w:vAlign w:val="center"/>
          </w:tcPr>
          <w:p w14:paraId="5A3C6CFD"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fldChar w:fldCharType="begin" w:fldLock="1"/>
            </w:r>
            <w:r w:rsidR="00B64B6D">
              <w:rPr>
                <w:rFonts w:ascii="Arial" w:hAnsi="Arial" w:cs="Arial"/>
                <w:sz w:val="22"/>
                <w:szCs w:val="22"/>
                <w:lang w:val="en-US"/>
              </w:rPr>
              <w:instrText xml:space="preserve"> ADDIN ZOTERO_ITEM CSL_CITATION {"citationID":"GemCU6JP","properties":{"formattedCitation":"(Maitre et al., 2019)","plainCitation":"(Maitre et al., 2019)","noteIndex":0},"citationItems":[{"id":8439,"uris":["http://www.mendeley.com/documents/?uuid=dbe1d04e-c7a4-4f9a-ab50-c5801d627c21","http://zotero.org/users/15080891/items/NI2YE468"],"itemData":{"id":8439,"type":"article-journal","abstract":"Identifying and counting individual mineral grains composing sand is an important component of many studies in environment, engineering, mineral exploration, ore processing and the foundation of geometallurgy. Typically, silt (32–128μm) and sand (128–1000μm) sized grains will be characterized under an optical microscope or a scanning electron microscope. In both cases, it is a tedious and costly process. Therefore, in this paper, we introduce an original computational approach in order to automate mineral grains recognition from numerical images obtained with a simple optical microscope. To the best of our knowledge, it is the first time that the current computer vision based on machine learning algorithms is tested for the automated recognition of such mineral grains. In more details, this work uses the simple linear iterative clustering segmentation to generate superpixels and many of them allow isolating sand grains, which is not possible with classical segmentation methods. Also, the approach has been tested using convolutional neural networks (CNNs). However, CNNs did not give as good results as the superpixels method. The superpixels are also exploited to extract features related to a sand grain. These image characteristics form the raw dataset. Prior to proceed with the classification, a data cleaning stage is necessary to get a usable dataset for machine learning algorithms. In addition, we present a comparison of performances of several algorithms. The overall obtained results are approximately 90% and demonstrate the concept of mineral recognition from a sample of sand grains provided by a numerical image.","container-title":"Computers and Geosciences","DOI":"10.1016/j.cageo.2019.05.009","ISSN":"00983004","issue":"May","page":"84-93","publisher":"Elsevier Ltd","title":"Mineral grains recognition using computer vision and machine learning","volume":"130","author":[{"family":"Maitre","given":"Julien"},{"family":"Bouchard","given":"Kévin"},{"family":"Bédard","given":"L. Paul"}],"issued":{"date-parts":[["2019"]]}}}],"schema":"https://github.com/citation-style-language/schema/raw/master/csl-citation.json"} </w:instrText>
            </w:r>
            <w:r w:rsidRPr="004C28BD">
              <w:rPr>
                <w:rFonts w:ascii="Arial" w:hAnsi="Arial" w:cs="Arial"/>
                <w:sz w:val="22"/>
                <w:szCs w:val="22"/>
                <w:lang w:val="en-US"/>
              </w:rPr>
              <w:fldChar w:fldCharType="separate"/>
            </w:r>
            <w:r w:rsidR="00B64B6D">
              <w:rPr>
                <w:rFonts w:ascii="Arial" w:hAnsi="Arial" w:cs="Arial"/>
                <w:noProof/>
                <w:sz w:val="22"/>
                <w:szCs w:val="22"/>
                <w:lang w:val="en-US"/>
              </w:rPr>
              <w:t>(Maitre et al., 2019)</w:t>
            </w:r>
            <w:r w:rsidRPr="004C28BD">
              <w:rPr>
                <w:rFonts w:ascii="Arial" w:hAnsi="Arial" w:cs="Arial"/>
                <w:sz w:val="22"/>
                <w:szCs w:val="22"/>
                <w:lang w:val="en-US"/>
              </w:rPr>
              <w:fldChar w:fldCharType="end"/>
            </w:r>
          </w:p>
        </w:tc>
      </w:tr>
      <w:tr w:rsidR="00FA6319" w:rsidRPr="004C28BD" w14:paraId="3EC23912" w14:textId="77777777" w:rsidTr="00A74524">
        <w:trPr>
          <w:trHeight w:val="347"/>
        </w:trPr>
        <w:tc>
          <w:tcPr>
            <w:tcW w:w="1738" w:type="dxa"/>
            <w:tcBorders>
              <w:bottom w:val="single" w:sz="4" w:space="0" w:color="auto"/>
            </w:tcBorders>
            <w:noWrap/>
            <w:vAlign w:val="center"/>
          </w:tcPr>
          <w:p w14:paraId="1111FF65" w14:textId="77777777" w:rsidR="00FA6319" w:rsidRPr="004C28BD" w:rsidRDefault="00FA6319" w:rsidP="00A74524">
            <w:pPr>
              <w:spacing w:line="276" w:lineRule="auto"/>
              <w:jc w:val="center"/>
              <w:rPr>
                <w:rFonts w:ascii="Arial" w:hAnsi="Arial" w:cs="Arial"/>
                <w:i/>
                <w:iCs/>
                <w:sz w:val="22"/>
                <w:szCs w:val="22"/>
                <w:lang w:val="en-US"/>
              </w:rPr>
            </w:pPr>
            <w:r w:rsidRPr="004C28BD">
              <w:rPr>
                <w:rFonts w:ascii="Arial" w:hAnsi="Arial" w:cs="Arial"/>
                <w:i/>
                <w:iCs/>
                <w:sz w:val="22"/>
                <w:szCs w:val="22"/>
                <w:lang w:val="en-US"/>
              </w:rPr>
              <w:lastRenderedPageBreak/>
              <w:t>Channel mode</w:t>
            </w:r>
          </w:p>
        </w:tc>
        <w:tc>
          <w:tcPr>
            <w:tcW w:w="2897" w:type="dxa"/>
            <w:tcBorders>
              <w:bottom w:val="single" w:sz="4" w:space="0" w:color="auto"/>
            </w:tcBorders>
            <w:vAlign w:val="center"/>
          </w:tcPr>
          <w:p w14:paraId="7A7F8DC5"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t>Computationally found as the most common value in the array</w:t>
            </w:r>
          </w:p>
        </w:tc>
        <w:tc>
          <w:tcPr>
            <w:tcW w:w="2326" w:type="dxa"/>
            <w:tcBorders>
              <w:bottom w:val="single" w:sz="4" w:space="0" w:color="auto"/>
            </w:tcBorders>
            <w:vAlign w:val="center"/>
          </w:tcPr>
          <w:p w14:paraId="0A6EB4BB"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t>Most frequent pixel intensity value</w:t>
            </w:r>
          </w:p>
        </w:tc>
        <w:tc>
          <w:tcPr>
            <w:tcW w:w="2326" w:type="dxa"/>
            <w:tcBorders>
              <w:bottom w:val="single" w:sz="4" w:space="0" w:color="auto"/>
            </w:tcBorders>
            <w:vAlign w:val="center"/>
          </w:tcPr>
          <w:p w14:paraId="54182EA4" w14:textId="77777777" w:rsidR="00FA6319" w:rsidRPr="004C28BD" w:rsidRDefault="00FA6319" w:rsidP="00A74524">
            <w:pPr>
              <w:spacing w:line="276" w:lineRule="auto"/>
              <w:jc w:val="center"/>
              <w:rPr>
                <w:rFonts w:ascii="Arial" w:hAnsi="Arial" w:cs="Arial"/>
                <w:sz w:val="22"/>
                <w:szCs w:val="22"/>
                <w:lang w:val="en-US"/>
              </w:rPr>
            </w:pPr>
            <w:r w:rsidRPr="004C28BD">
              <w:rPr>
                <w:rFonts w:ascii="Arial" w:hAnsi="Arial" w:cs="Arial"/>
                <w:sz w:val="22"/>
                <w:szCs w:val="22"/>
                <w:lang w:val="en-US"/>
              </w:rPr>
              <w:fldChar w:fldCharType="begin" w:fldLock="1"/>
            </w:r>
            <w:r w:rsidR="00B64B6D">
              <w:rPr>
                <w:rFonts w:ascii="Arial" w:hAnsi="Arial" w:cs="Arial"/>
                <w:sz w:val="22"/>
                <w:szCs w:val="22"/>
                <w:lang w:val="en-US"/>
              </w:rPr>
              <w:instrText xml:space="preserve"> ADDIN ZOTERO_ITEM CSL_CITATION {"citationID":"hZXbwG9D","properties":{"formattedCitation":"(Mehbodniya et al., 2022)","plainCitation":"(Mehbodniya et al., 2022)","noteIndex":0},"citationItems":[{"id":9100,"uris":["http://www.mendeley.com/documents/?uuid=91b18f09-637b-4e83-9094-4c8a442be450","http://zotero.org/users/15080891/items/MFFPWMY9"],"itemData":{"id":9100,"type":"article-journal","abstract":"Health complications during the gestation period have evolved as a global issue. These complications sometimes result in the mortality of the fetus, which is more prevalent in developing and underdeveloped countries. The genesis of machine learning (ML) algorithms in the healthcare domain have brought remarkable progress in disease diagnosis, treatment, and prognosis. This research deploys various ML algorithms to predict fetal health from the cardiotocographic (CTG) data by labelling the health state into normal, needs guarantee, and pathology. This work assesses the influence of various factors measured through CTG to predict the health state of the fetus through algorithms like support vector machine, random forest (RF), multi-layer perceptron, and K-nearest neighbours. In addition to this, the regression analysis and correlation analysis revealed the influence of the attributes on fetal health. The results of the algorithms show that RF performs better than its peers in terms of accuracy, precision, recall, F1-score, and support. This work can further enhance more promising results by performing suitable feature engineering in the CTG data.","container-title":"Expert Systems","DOI":"10.1111/exsy.12899","ISSN":"14680394","issue":"6","page":"1-13","title":"Fetal health classification from cardiotocographic data using machine learning","volume":"39","author":[{"family":"Mehbodniya","given":"Abolfazl"},{"family":"Lazar","given":"Arokia Jesu Prabhu"},{"family":"Webber","given":"Julian"},{"family":"Sharma","given":"Dilip Kumar"},{"family":"Jayagopalan","given":"Santhosh"},{"family":"Kousalya","given":"K."},{"family":"Singh","given":"Pallavi"},{"family":"Rajan","given":"Regin"},{"family":"Pandya","given":"Sharnil"},{"family":"Sengan","given":"Sudhakar"}],"issued":{"date-parts":[["2022"]]}}}],"schema":"https://github.com/citation-style-language/schema/raw/master/csl-citation.json"} </w:instrText>
            </w:r>
            <w:r w:rsidRPr="004C28BD">
              <w:rPr>
                <w:rFonts w:ascii="Arial" w:hAnsi="Arial" w:cs="Arial"/>
                <w:sz w:val="22"/>
                <w:szCs w:val="22"/>
                <w:lang w:val="en-US"/>
              </w:rPr>
              <w:fldChar w:fldCharType="separate"/>
            </w:r>
            <w:r w:rsidR="00B64B6D">
              <w:rPr>
                <w:rFonts w:ascii="Arial" w:hAnsi="Arial" w:cs="Arial"/>
                <w:noProof/>
                <w:sz w:val="22"/>
                <w:szCs w:val="22"/>
                <w:lang w:val="en-US"/>
              </w:rPr>
              <w:t>(Mehbodniya et al., 2022)</w:t>
            </w:r>
            <w:r w:rsidRPr="004C28BD">
              <w:rPr>
                <w:rFonts w:ascii="Arial" w:hAnsi="Arial" w:cs="Arial"/>
                <w:sz w:val="22"/>
                <w:szCs w:val="22"/>
                <w:lang w:val="en-US"/>
              </w:rPr>
              <w:fldChar w:fldCharType="end"/>
            </w:r>
          </w:p>
        </w:tc>
      </w:tr>
    </w:tbl>
    <w:p w14:paraId="3C144C2B" w14:textId="77777777" w:rsidR="00C8379B" w:rsidRDefault="00FA6319">
      <w:pPr>
        <w:rPr>
          <w:rFonts w:ascii="Arial" w:hAnsi="Arial" w:cs="Arial"/>
          <w:sz w:val="22"/>
          <w:szCs w:val="22"/>
        </w:rPr>
      </w:pPr>
      <w:r w:rsidRPr="004C28BD">
        <w:rPr>
          <w:rFonts w:ascii="Arial" w:hAnsi="Arial" w:cs="Arial"/>
          <w:sz w:val="22"/>
          <w:szCs w:val="22"/>
          <w:vertAlign w:val="superscript"/>
        </w:rPr>
        <w:t>1</w:t>
      </w:r>
      <w:r w:rsidRPr="004C28BD">
        <w:rPr>
          <w:rFonts w:ascii="Arial" w:hAnsi="Arial" w:cs="Arial"/>
          <w:sz w:val="22"/>
          <w:szCs w:val="22"/>
        </w:rPr>
        <w:t xml:space="preserve">Channel in any of the Red-Green-Blue and Hue-Saturation-Value </w:t>
      </w:r>
      <w:proofErr w:type="spellStart"/>
      <w:r w:rsidRPr="004C28BD">
        <w:rPr>
          <w:rFonts w:ascii="Arial" w:hAnsi="Arial" w:cs="Arial"/>
          <w:sz w:val="22"/>
          <w:szCs w:val="22"/>
        </w:rPr>
        <w:t>color</w:t>
      </w:r>
      <w:proofErr w:type="spellEnd"/>
      <w:r w:rsidRPr="004C28BD">
        <w:rPr>
          <w:rFonts w:ascii="Arial" w:hAnsi="Arial" w:cs="Arial"/>
          <w:sz w:val="22"/>
          <w:szCs w:val="22"/>
        </w:rPr>
        <w:t xml:space="preserve"> spaces. As explained in the main text, </w:t>
      </w:r>
      <w:r w:rsidRPr="004C28BD">
        <w:rPr>
          <w:rFonts w:ascii="Arial" w:hAnsi="Arial" w:cs="Arial"/>
          <w:lang w:val="en-US"/>
        </w:rPr>
        <w:t>if the channel is Red, Green, Blue or Hue, the measured feature is associated with the chromaticity; if the channel is the Saturation, the feature is associated with the color intensity; and if the channel is the Value, the feature is associated with the brightness</w:t>
      </w:r>
      <w:r w:rsidRPr="004C28BD">
        <w:rPr>
          <w:rFonts w:ascii="Arial" w:hAnsi="Arial" w:cs="Arial"/>
          <w:sz w:val="22"/>
          <w:szCs w:val="22"/>
        </w:rPr>
        <w:t>.</w:t>
      </w:r>
    </w:p>
    <w:p w14:paraId="71BAE549" w14:textId="77777777" w:rsidR="00B64B6D" w:rsidRDefault="00B64B6D">
      <w:pPr>
        <w:rPr>
          <w:rFonts w:ascii="Arial" w:hAnsi="Arial" w:cs="Arial"/>
          <w:sz w:val="22"/>
          <w:szCs w:val="22"/>
        </w:rPr>
      </w:pPr>
    </w:p>
    <w:p w14:paraId="29FB0F4B" w14:textId="77777777" w:rsidR="00B64B6D" w:rsidRDefault="00B64B6D">
      <w:pPr>
        <w:rPr>
          <w:rFonts w:ascii="Arial" w:hAnsi="Arial" w:cs="Arial"/>
          <w:b/>
          <w:bCs/>
          <w:sz w:val="22"/>
          <w:szCs w:val="22"/>
        </w:rPr>
      </w:pPr>
      <w:r>
        <w:rPr>
          <w:rFonts w:ascii="Arial" w:hAnsi="Arial" w:cs="Arial"/>
          <w:b/>
          <w:bCs/>
          <w:sz w:val="22"/>
          <w:szCs w:val="22"/>
        </w:rPr>
        <w:t>References</w:t>
      </w:r>
    </w:p>
    <w:p w14:paraId="1F8667C5" w14:textId="77777777" w:rsidR="00B64B6D" w:rsidRPr="00B64B6D" w:rsidRDefault="00B64B6D" w:rsidP="00B64B6D">
      <w:pPr>
        <w:pStyle w:val="Bibliography"/>
        <w:rPr>
          <w:rFonts w:ascii="Arial" w:hAnsi="Arial" w:cs="Arial"/>
          <w:lang w:val="en-GB"/>
        </w:rPr>
      </w:pPr>
      <w:r>
        <w:rPr>
          <w:rFonts w:ascii="Arial" w:hAnsi="Arial" w:cs="Arial"/>
          <w:b/>
          <w:bCs/>
        </w:rPr>
        <w:fldChar w:fldCharType="begin"/>
      </w:r>
      <w:r>
        <w:rPr>
          <w:rFonts w:ascii="Arial" w:hAnsi="Arial" w:cs="Arial"/>
          <w:b/>
          <w:bCs/>
        </w:rPr>
        <w:instrText xml:space="preserve"> ADDIN ZOTERO_BIBL {"uncited":[],"omitted":[],"custom":[]} CSL_BIBLIOGRAPHY </w:instrText>
      </w:r>
      <w:r>
        <w:rPr>
          <w:rFonts w:ascii="Arial" w:hAnsi="Arial" w:cs="Arial"/>
          <w:b/>
          <w:bCs/>
        </w:rPr>
        <w:fldChar w:fldCharType="separate"/>
      </w:r>
      <w:r w:rsidRPr="00B64B6D">
        <w:rPr>
          <w:rFonts w:ascii="Arial" w:hAnsi="Arial" w:cs="Arial"/>
          <w:lang w:val="en-GB"/>
        </w:rPr>
        <w:t xml:space="preserve">Cioni, R., Pistolesi, M., Bertagnini, A., Bonadonna, C., Hoskuldsson, A., &amp; Scateni, B. (2014). Insights into the dynamics and evolution of the 2010 Eyjafjallajökull summit eruption (Iceland) provided by volcanic ash textures. </w:t>
      </w:r>
      <w:r w:rsidRPr="00B64B6D">
        <w:rPr>
          <w:rFonts w:ascii="Arial" w:hAnsi="Arial" w:cs="Arial"/>
          <w:i/>
          <w:iCs/>
          <w:lang w:val="en-GB"/>
        </w:rPr>
        <w:t>Earth and Planetary Science Letters</w:t>
      </w:r>
      <w:r w:rsidRPr="00B64B6D">
        <w:rPr>
          <w:rFonts w:ascii="Arial" w:hAnsi="Arial" w:cs="Arial"/>
          <w:lang w:val="en-GB"/>
        </w:rPr>
        <w:t xml:space="preserve">, </w:t>
      </w:r>
      <w:r w:rsidRPr="00B64B6D">
        <w:rPr>
          <w:rFonts w:ascii="Arial" w:hAnsi="Arial" w:cs="Arial"/>
          <w:i/>
          <w:iCs/>
          <w:lang w:val="en-GB"/>
        </w:rPr>
        <w:t>394</w:t>
      </w:r>
      <w:r w:rsidRPr="00B64B6D">
        <w:rPr>
          <w:rFonts w:ascii="Arial" w:hAnsi="Arial" w:cs="Arial"/>
          <w:lang w:val="en-GB"/>
        </w:rPr>
        <w:t>(May 2010), 111–123. https://doi.org/10.1016/j.epsl.2014.02.051</w:t>
      </w:r>
    </w:p>
    <w:p w14:paraId="0247BAE6" w14:textId="77777777" w:rsidR="00B64B6D" w:rsidRPr="00B64B6D" w:rsidRDefault="00B64B6D" w:rsidP="00B64B6D">
      <w:pPr>
        <w:pStyle w:val="Bibliography"/>
        <w:rPr>
          <w:rFonts w:ascii="Arial" w:hAnsi="Arial" w:cs="Arial"/>
          <w:lang w:val="en-GB"/>
        </w:rPr>
      </w:pPr>
      <w:r w:rsidRPr="00B64B6D">
        <w:rPr>
          <w:rFonts w:ascii="Arial" w:hAnsi="Arial" w:cs="Arial"/>
          <w:lang w:val="fr-FR"/>
        </w:rPr>
        <w:t xml:space="preserve">Dellino, P., &amp; La Volpe, L. (1996). </w:t>
      </w:r>
      <w:r w:rsidRPr="00B64B6D">
        <w:rPr>
          <w:rFonts w:ascii="Arial" w:hAnsi="Arial" w:cs="Arial"/>
          <w:lang w:val="en-GB"/>
        </w:rPr>
        <w:t xml:space="preserve">Image processing analysis in reconstructing fragmentation and transportation mechanisms of pyroclastic deposits. The case of Monte Pilato-Rocche Rosse eruptions, Lipari ( Aeolian islands, Italy). </w:t>
      </w:r>
      <w:r w:rsidRPr="00B64B6D">
        <w:rPr>
          <w:rFonts w:ascii="Arial" w:hAnsi="Arial" w:cs="Arial"/>
          <w:i/>
          <w:iCs/>
          <w:lang w:val="en-GB"/>
        </w:rPr>
        <w:t>Journal of Volcanology and Geothermal Research</w:t>
      </w:r>
      <w:r w:rsidRPr="00B64B6D">
        <w:rPr>
          <w:rFonts w:ascii="Arial" w:hAnsi="Arial" w:cs="Arial"/>
          <w:lang w:val="en-GB"/>
        </w:rPr>
        <w:t xml:space="preserve">, </w:t>
      </w:r>
      <w:r w:rsidRPr="00B64B6D">
        <w:rPr>
          <w:rFonts w:ascii="Arial" w:hAnsi="Arial" w:cs="Arial"/>
          <w:i/>
          <w:iCs/>
          <w:lang w:val="en-GB"/>
        </w:rPr>
        <w:t>71</w:t>
      </w:r>
      <w:r w:rsidRPr="00B64B6D">
        <w:rPr>
          <w:rFonts w:ascii="Arial" w:hAnsi="Arial" w:cs="Arial"/>
          <w:lang w:val="en-GB"/>
        </w:rPr>
        <w:t>(1), 13–29. https://doi.org/10.1016/0377-0273(95)00062-3</w:t>
      </w:r>
    </w:p>
    <w:p w14:paraId="14D9C43A" w14:textId="77777777" w:rsidR="00B64B6D" w:rsidRPr="00B64B6D" w:rsidRDefault="00B64B6D" w:rsidP="00B64B6D">
      <w:pPr>
        <w:pStyle w:val="Bibliography"/>
        <w:rPr>
          <w:rFonts w:ascii="Arial" w:hAnsi="Arial" w:cs="Arial"/>
          <w:lang w:val="en-GB"/>
        </w:rPr>
      </w:pPr>
      <w:r w:rsidRPr="00B64B6D">
        <w:rPr>
          <w:rFonts w:ascii="Arial" w:hAnsi="Arial" w:cs="Arial"/>
          <w:lang w:val="en-GB"/>
        </w:rPr>
        <w:t xml:space="preserve">Dürig, T., Bowman, M. H., White, J. D. L., Murch, A., Mele, D., Verolino, A., &amp; Dellino, P. (2018). PARTIcle Shape ANalyzer PARTISAN – an open source tool for multi-standard two-dimensional particle morphometry analysis. </w:t>
      </w:r>
      <w:r w:rsidRPr="00B64B6D">
        <w:rPr>
          <w:rFonts w:ascii="Arial" w:hAnsi="Arial" w:cs="Arial"/>
          <w:i/>
          <w:iCs/>
          <w:lang w:val="en-GB"/>
        </w:rPr>
        <w:t>Annals of Geophysics</w:t>
      </w:r>
      <w:r w:rsidRPr="00B64B6D">
        <w:rPr>
          <w:rFonts w:ascii="Arial" w:hAnsi="Arial" w:cs="Arial"/>
          <w:lang w:val="en-GB"/>
        </w:rPr>
        <w:t xml:space="preserve">, </w:t>
      </w:r>
      <w:r w:rsidRPr="00B64B6D">
        <w:rPr>
          <w:rFonts w:ascii="Arial" w:hAnsi="Arial" w:cs="Arial"/>
          <w:i/>
          <w:iCs/>
          <w:lang w:val="en-GB"/>
        </w:rPr>
        <w:t>61</w:t>
      </w:r>
      <w:r w:rsidRPr="00B64B6D">
        <w:rPr>
          <w:rFonts w:ascii="Arial" w:hAnsi="Arial" w:cs="Arial"/>
          <w:lang w:val="en-GB"/>
        </w:rPr>
        <w:t>(6 sup), Article 6 sup. https://doi.org/10.4401/ag-7865</w:t>
      </w:r>
    </w:p>
    <w:p w14:paraId="0149A12B" w14:textId="77777777" w:rsidR="00B64B6D" w:rsidRPr="00B64B6D" w:rsidRDefault="00B64B6D" w:rsidP="00B64B6D">
      <w:pPr>
        <w:pStyle w:val="Bibliography"/>
        <w:rPr>
          <w:rFonts w:ascii="Arial" w:hAnsi="Arial" w:cs="Arial"/>
          <w:lang w:val="en-GB"/>
        </w:rPr>
      </w:pPr>
      <w:r w:rsidRPr="00B64B6D">
        <w:rPr>
          <w:rFonts w:ascii="Arial" w:hAnsi="Arial" w:cs="Arial"/>
          <w:lang w:val="en-GB"/>
        </w:rPr>
        <w:t xml:space="preserve">Hall-Beyer, M. (2017). GLCM Texture: A Tutorial. </w:t>
      </w:r>
      <w:r w:rsidRPr="00B64B6D">
        <w:rPr>
          <w:rFonts w:ascii="Arial" w:hAnsi="Arial" w:cs="Arial"/>
          <w:i/>
          <w:iCs/>
          <w:lang w:val="en-GB"/>
        </w:rPr>
        <w:t>17th International Symposium on Ballistics</w:t>
      </w:r>
      <w:r w:rsidRPr="00B64B6D">
        <w:rPr>
          <w:rFonts w:ascii="Arial" w:hAnsi="Arial" w:cs="Arial"/>
          <w:lang w:val="en-GB"/>
        </w:rPr>
        <w:t xml:space="preserve">, </w:t>
      </w:r>
      <w:r w:rsidRPr="00B64B6D">
        <w:rPr>
          <w:rFonts w:ascii="Arial" w:hAnsi="Arial" w:cs="Arial"/>
          <w:i/>
          <w:iCs/>
          <w:lang w:val="en-GB"/>
        </w:rPr>
        <w:t>2</w:t>
      </w:r>
      <w:r w:rsidRPr="00B64B6D">
        <w:rPr>
          <w:rFonts w:ascii="Arial" w:hAnsi="Arial" w:cs="Arial"/>
          <w:lang w:val="en-GB"/>
        </w:rPr>
        <w:t>(March), 18–19.</w:t>
      </w:r>
    </w:p>
    <w:p w14:paraId="00B8ACAA" w14:textId="77777777" w:rsidR="00B64B6D" w:rsidRPr="00B64B6D" w:rsidRDefault="00B64B6D" w:rsidP="00B64B6D">
      <w:pPr>
        <w:pStyle w:val="Bibliography"/>
        <w:rPr>
          <w:rFonts w:ascii="Arial" w:hAnsi="Arial" w:cs="Arial"/>
          <w:lang w:val="en-GB"/>
        </w:rPr>
      </w:pPr>
      <w:r w:rsidRPr="00B64B6D">
        <w:rPr>
          <w:rFonts w:ascii="Arial" w:hAnsi="Arial" w:cs="Arial"/>
          <w:lang w:val="fr-FR"/>
        </w:rPr>
        <w:t xml:space="preserve">Leibrandt, S., &amp; Le Pennec, J. L. (2015). </w:t>
      </w:r>
      <w:r w:rsidRPr="00B64B6D">
        <w:rPr>
          <w:rFonts w:ascii="Arial" w:hAnsi="Arial" w:cs="Arial"/>
          <w:lang w:val="en-GB"/>
        </w:rPr>
        <w:t xml:space="preserve">Towards fast and routine analyses of volcanic ash morphometry for eruption surveillance applications. </w:t>
      </w:r>
      <w:r w:rsidRPr="00B64B6D">
        <w:rPr>
          <w:rFonts w:ascii="Arial" w:hAnsi="Arial" w:cs="Arial"/>
          <w:i/>
          <w:iCs/>
          <w:lang w:val="en-GB"/>
        </w:rPr>
        <w:t>Journal of Volcanology and Geothermal Research</w:t>
      </w:r>
      <w:r w:rsidRPr="00B64B6D">
        <w:rPr>
          <w:rFonts w:ascii="Arial" w:hAnsi="Arial" w:cs="Arial"/>
          <w:lang w:val="en-GB"/>
        </w:rPr>
        <w:t xml:space="preserve">, </w:t>
      </w:r>
      <w:r w:rsidRPr="00B64B6D">
        <w:rPr>
          <w:rFonts w:ascii="Arial" w:hAnsi="Arial" w:cs="Arial"/>
          <w:i/>
          <w:iCs/>
          <w:lang w:val="en-GB"/>
        </w:rPr>
        <w:t>297</w:t>
      </w:r>
      <w:r w:rsidRPr="00B64B6D">
        <w:rPr>
          <w:rFonts w:ascii="Arial" w:hAnsi="Arial" w:cs="Arial"/>
          <w:lang w:val="en-GB"/>
        </w:rPr>
        <w:t>, 11–27. https://doi.org/10.1016/j.jvolgeores.2015.03.014</w:t>
      </w:r>
    </w:p>
    <w:p w14:paraId="47C4B885" w14:textId="77777777" w:rsidR="00B64B6D" w:rsidRPr="00B64B6D" w:rsidRDefault="00B64B6D" w:rsidP="00B64B6D">
      <w:pPr>
        <w:pStyle w:val="Bibliography"/>
        <w:rPr>
          <w:rFonts w:ascii="Arial" w:hAnsi="Arial" w:cs="Arial"/>
          <w:lang w:val="en-GB"/>
        </w:rPr>
      </w:pPr>
      <w:r w:rsidRPr="00B64B6D">
        <w:rPr>
          <w:rFonts w:ascii="Arial" w:hAnsi="Arial" w:cs="Arial"/>
          <w:lang w:val="en-GB"/>
        </w:rPr>
        <w:lastRenderedPageBreak/>
        <w:t xml:space="preserve">Liu, E. J., Cashman, K. V., &amp; Rust, A. C. (2015). Optimising shape analysis to quantify volcanic ash morphology. </w:t>
      </w:r>
      <w:r w:rsidRPr="00B64B6D">
        <w:rPr>
          <w:rFonts w:ascii="Arial" w:hAnsi="Arial" w:cs="Arial"/>
          <w:i/>
          <w:iCs/>
          <w:lang w:val="en-GB"/>
        </w:rPr>
        <w:t>GeoResJ</w:t>
      </w:r>
      <w:r w:rsidRPr="00B64B6D">
        <w:rPr>
          <w:rFonts w:ascii="Arial" w:hAnsi="Arial" w:cs="Arial"/>
          <w:lang w:val="en-GB"/>
        </w:rPr>
        <w:t xml:space="preserve">, </w:t>
      </w:r>
      <w:r w:rsidRPr="00B64B6D">
        <w:rPr>
          <w:rFonts w:ascii="Arial" w:hAnsi="Arial" w:cs="Arial"/>
          <w:i/>
          <w:iCs/>
          <w:lang w:val="en-GB"/>
        </w:rPr>
        <w:t>8</w:t>
      </w:r>
      <w:r w:rsidRPr="00B64B6D">
        <w:rPr>
          <w:rFonts w:ascii="Arial" w:hAnsi="Arial" w:cs="Arial"/>
          <w:lang w:val="en-GB"/>
        </w:rPr>
        <w:t>, 14–30. https://doi.org/10.1016/j.grj.2015.09.001</w:t>
      </w:r>
    </w:p>
    <w:p w14:paraId="60E7A595" w14:textId="77777777" w:rsidR="00B64B6D" w:rsidRPr="00B64B6D" w:rsidRDefault="00B64B6D" w:rsidP="00B64B6D">
      <w:pPr>
        <w:pStyle w:val="Bibliography"/>
        <w:rPr>
          <w:rFonts w:ascii="Arial" w:hAnsi="Arial" w:cs="Arial"/>
          <w:lang w:val="en-GB"/>
        </w:rPr>
      </w:pPr>
      <w:r w:rsidRPr="00B64B6D">
        <w:rPr>
          <w:rFonts w:ascii="Arial" w:hAnsi="Arial" w:cs="Arial"/>
          <w:lang w:val="en-GB"/>
        </w:rPr>
        <w:t xml:space="preserve">Maitre, J., Bouchard, K., &amp; Bédard, L. P. (2019). Mineral grains recognition using computer vision and machine learning. </w:t>
      </w:r>
      <w:r w:rsidRPr="00B64B6D">
        <w:rPr>
          <w:rFonts w:ascii="Arial" w:hAnsi="Arial" w:cs="Arial"/>
          <w:i/>
          <w:iCs/>
          <w:lang w:val="en-GB"/>
        </w:rPr>
        <w:t>Computers and Geosciences</w:t>
      </w:r>
      <w:r w:rsidRPr="00B64B6D">
        <w:rPr>
          <w:rFonts w:ascii="Arial" w:hAnsi="Arial" w:cs="Arial"/>
          <w:lang w:val="en-GB"/>
        </w:rPr>
        <w:t xml:space="preserve">, </w:t>
      </w:r>
      <w:r w:rsidRPr="00B64B6D">
        <w:rPr>
          <w:rFonts w:ascii="Arial" w:hAnsi="Arial" w:cs="Arial"/>
          <w:i/>
          <w:iCs/>
          <w:lang w:val="en-GB"/>
        </w:rPr>
        <w:t>130</w:t>
      </w:r>
      <w:r w:rsidRPr="00B64B6D">
        <w:rPr>
          <w:rFonts w:ascii="Arial" w:hAnsi="Arial" w:cs="Arial"/>
          <w:lang w:val="en-GB"/>
        </w:rPr>
        <w:t>(May), 84–93. https://doi.org/10.1016/j.cageo.2019.05.009</w:t>
      </w:r>
    </w:p>
    <w:p w14:paraId="31C83FDD" w14:textId="77777777" w:rsidR="00B64B6D" w:rsidRPr="00B64B6D" w:rsidRDefault="00B64B6D" w:rsidP="00B64B6D">
      <w:pPr>
        <w:pStyle w:val="Bibliography"/>
        <w:rPr>
          <w:rFonts w:ascii="Arial" w:hAnsi="Arial" w:cs="Arial"/>
          <w:lang w:val="en-GB"/>
        </w:rPr>
      </w:pPr>
      <w:r w:rsidRPr="00B64B6D">
        <w:rPr>
          <w:rFonts w:ascii="Arial" w:hAnsi="Arial" w:cs="Arial"/>
          <w:lang w:val="en-GB"/>
        </w:rPr>
        <w:t xml:space="preserve">Mehbodniya, A., Lazar, A. J. P., Webber, J., Sharma, D. K., Jayagopalan, S., Kousalya, K., Singh, P., Rajan, R., Pandya, S., &amp; Sengan, S. (2022). Fetal health classification from cardiotocographic data using machine learning. </w:t>
      </w:r>
      <w:r w:rsidRPr="00B64B6D">
        <w:rPr>
          <w:rFonts w:ascii="Arial" w:hAnsi="Arial" w:cs="Arial"/>
          <w:i/>
          <w:iCs/>
          <w:lang w:val="en-GB"/>
        </w:rPr>
        <w:t>Expert Systems</w:t>
      </w:r>
      <w:r w:rsidRPr="00B64B6D">
        <w:rPr>
          <w:rFonts w:ascii="Arial" w:hAnsi="Arial" w:cs="Arial"/>
          <w:lang w:val="en-GB"/>
        </w:rPr>
        <w:t xml:space="preserve">, </w:t>
      </w:r>
      <w:r w:rsidRPr="00B64B6D">
        <w:rPr>
          <w:rFonts w:ascii="Arial" w:hAnsi="Arial" w:cs="Arial"/>
          <w:i/>
          <w:iCs/>
          <w:lang w:val="en-GB"/>
        </w:rPr>
        <w:t>39</w:t>
      </w:r>
      <w:r w:rsidRPr="00B64B6D">
        <w:rPr>
          <w:rFonts w:ascii="Arial" w:hAnsi="Arial" w:cs="Arial"/>
          <w:lang w:val="en-GB"/>
        </w:rPr>
        <w:t>(6), 1–13. https://doi.org/10.1111/exsy.12899</w:t>
      </w:r>
    </w:p>
    <w:p w14:paraId="6A46C8FD" w14:textId="77777777" w:rsidR="00B64B6D" w:rsidRPr="00B64B6D" w:rsidRDefault="00B64B6D">
      <w:pPr>
        <w:rPr>
          <w:rFonts w:ascii="Arial" w:hAnsi="Arial" w:cs="Arial"/>
          <w:b/>
          <w:bCs/>
        </w:rPr>
      </w:pPr>
      <w:r>
        <w:rPr>
          <w:rFonts w:ascii="Arial" w:hAnsi="Arial" w:cs="Arial"/>
          <w:b/>
          <w:bCs/>
        </w:rPr>
        <w:fldChar w:fldCharType="end"/>
      </w:r>
    </w:p>
    <w:sectPr w:rsidR="00B64B6D" w:rsidRPr="00B64B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MU Sans Serif Demi Condensed">
    <w:altName w:val="Calibri"/>
    <w:panose1 w:val="02000706000000000000"/>
    <w:charset w:val="00"/>
    <w:family w:val="auto"/>
    <w:notTrueType/>
    <w:pitch w:val="variable"/>
    <w:sig w:usb0="E10002FF" w:usb1="5201E1EB" w:usb2="00000004" w:usb3="00000000" w:csb0="0000011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MU Sans Serif">
    <w:altName w:val="Calibri"/>
    <w:panose1 w:val="02000603000000000000"/>
    <w:charset w:val="00"/>
    <w:family w:val="auto"/>
    <w:notTrueType/>
    <w:pitch w:val="variable"/>
    <w:sig w:usb0="E10002FF" w:usb1="5201E9EB" w:usb2="00000004" w:usb3="00000000" w:csb0="0000011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Yu Mincho">
    <w:altName w:val="游明朝"/>
    <w:panose1 w:val="020204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79B"/>
    <w:rsid w:val="00105256"/>
    <w:rsid w:val="001B53BB"/>
    <w:rsid w:val="00420B06"/>
    <w:rsid w:val="004C28BD"/>
    <w:rsid w:val="006E6C2D"/>
    <w:rsid w:val="00825D32"/>
    <w:rsid w:val="00B129F3"/>
    <w:rsid w:val="00B54C2A"/>
    <w:rsid w:val="00B64B6D"/>
    <w:rsid w:val="00C8379B"/>
    <w:rsid w:val="00CD1A33"/>
    <w:rsid w:val="00F6501E"/>
    <w:rsid w:val="00FA08B0"/>
    <w:rsid w:val="00FA6319"/>
    <w:rsid w:val="00FE5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164B7CAE"/>
  <w15:chartTrackingRefBased/>
  <w15:docId w15:val="{3918A578-643A-4142-BE4D-BA42477EA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6319"/>
    <w:rPr>
      <w:kern w:val="0"/>
      <w:lang w:val="en-SG"/>
      <w14:ligatures w14:val="none"/>
    </w:rPr>
  </w:style>
  <w:style w:type="paragraph" w:styleId="Heading1">
    <w:name w:val="heading 1"/>
    <w:basedOn w:val="Normal"/>
    <w:next w:val="Normal"/>
    <w:link w:val="Heading1Char"/>
    <w:qFormat/>
    <w:rsid w:val="00FA08B0"/>
    <w:pPr>
      <w:spacing w:before="240" w:after="240" w:line="360" w:lineRule="auto"/>
      <w:jc w:val="both"/>
      <w:outlineLvl w:val="0"/>
    </w:pPr>
    <w:rPr>
      <w:rFonts w:ascii="CMU Sans Serif Demi Condensed" w:eastAsia="Times New Roman" w:hAnsi="CMU Sans Serif Demi Condensed" w:cs="Times New Roman"/>
      <w:b/>
      <w:sz w:val="28"/>
      <w:lang w:val="en-GB" w:eastAsia="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A6319"/>
    <w:rPr>
      <w:rFonts w:ascii="Calibri" w:eastAsia="Calibri" w:hAnsi="Calibri" w:cs="Times New Roman"/>
      <w:kern w:val="0"/>
      <w:sz w:val="20"/>
      <w:szCs w:val="20"/>
      <w:lang w:val="en-S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aption">
    <w:name w:val="table_caption"/>
    <w:basedOn w:val="Caption"/>
    <w:qFormat/>
    <w:rsid w:val="00FA6319"/>
    <w:pPr>
      <w:spacing w:line="360" w:lineRule="auto"/>
      <w:jc w:val="both"/>
    </w:pPr>
    <w:rPr>
      <w:rFonts w:ascii="Palatino Linotype" w:hAnsi="Palatino Linotype"/>
      <w:i w:val="0"/>
      <w:iCs w:val="0"/>
      <w:color w:val="000000" w:themeColor="text1"/>
      <w:kern w:val="2"/>
      <w:sz w:val="24"/>
      <w:szCs w:val="24"/>
      <w14:ligatures w14:val="standardContextual"/>
    </w:rPr>
  </w:style>
  <w:style w:type="table" w:styleId="PlainTable5">
    <w:name w:val="Plain Table 5"/>
    <w:basedOn w:val="TableNormal"/>
    <w:uiPriority w:val="45"/>
    <w:rsid w:val="00FA6319"/>
    <w:rPr>
      <w:lang w:val="en-SG"/>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aption">
    <w:name w:val="caption"/>
    <w:basedOn w:val="Normal"/>
    <w:next w:val="Normal"/>
    <w:uiPriority w:val="35"/>
    <w:semiHidden/>
    <w:unhideWhenUsed/>
    <w:qFormat/>
    <w:rsid w:val="00FA6319"/>
    <w:pPr>
      <w:spacing w:after="200"/>
    </w:pPr>
    <w:rPr>
      <w:i/>
      <w:iCs/>
      <w:color w:val="44546A" w:themeColor="text2"/>
      <w:sz w:val="18"/>
      <w:szCs w:val="18"/>
    </w:rPr>
  </w:style>
  <w:style w:type="character" w:styleId="LineNumber">
    <w:name w:val="line number"/>
    <w:basedOn w:val="DefaultParagraphFont"/>
    <w:uiPriority w:val="99"/>
    <w:semiHidden/>
    <w:unhideWhenUsed/>
    <w:rsid w:val="00FA6319"/>
  </w:style>
  <w:style w:type="character" w:customStyle="1" w:styleId="apple-converted-space">
    <w:name w:val="apple-converted-space"/>
    <w:basedOn w:val="DefaultParagraphFont"/>
    <w:rsid w:val="00F6501E"/>
  </w:style>
  <w:style w:type="paragraph" w:styleId="Bibliography">
    <w:name w:val="Bibliography"/>
    <w:basedOn w:val="Normal"/>
    <w:next w:val="Normal"/>
    <w:uiPriority w:val="37"/>
    <w:unhideWhenUsed/>
    <w:rsid w:val="00B64B6D"/>
    <w:pPr>
      <w:spacing w:line="480" w:lineRule="auto"/>
      <w:ind w:left="720" w:hanging="720"/>
    </w:pPr>
  </w:style>
  <w:style w:type="character" w:customStyle="1" w:styleId="Heading1Char">
    <w:name w:val="Heading 1 Char"/>
    <w:basedOn w:val="DefaultParagraphFont"/>
    <w:link w:val="Heading1"/>
    <w:rsid w:val="00FA08B0"/>
    <w:rPr>
      <w:rFonts w:ascii="CMU Sans Serif Demi Condensed" w:eastAsia="Times New Roman" w:hAnsi="CMU Sans Serif Demi Condensed" w:cs="Times New Roman"/>
      <w:b/>
      <w:kern w:val="0"/>
      <w:sz w:val="28"/>
      <w:lang w:val="en-GB"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988709">
      <w:bodyDiv w:val="1"/>
      <w:marLeft w:val="0"/>
      <w:marRight w:val="0"/>
      <w:marTop w:val="0"/>
      <w:marBottom w:val="0"/>
      <w:divBdr>
        <w:top w:val="none" w:sz="0" w:space="0" w:color="auto"/>
        <w:left w:val="none" w:sz="0" w:space="0" w:color="auto"/>
        <w:bottom w:val="none" w:sz="0" w:space="0" w:color="auto"/>
        <w:right w:val="none" w:sz="0" w:space="0" w:color="auto"/>
      </w:divBdr>
      <w:divsChild>
        <w:div w:id="10309128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1383892">
              <w:marLeft w:val="0"/>
              <w:marRight w:val="0"/>
              <w:marTop w:val="0"/>
              <w:marBottom w:val="0"/>
              <w:divBdr>
                <w:top w:val="none" w:sz="0" w:space="0" w:color="auto"/>
                <w:left w:val="none" w:sz="0" w:space="0" w:color="auto"/>
                <w:bottom w:val="none" w:sz="0" w:space="0" w:color="auto"/>
                <w:right w:val="none" w:sz="0" w:space="0" w:color="auto"/>
              </w:divBdr>
              <w:divsChild>
                <w:div w:id="100428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D4931-4419-054E-AFBC-117E1585E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7846</Words>
  <Characters>44727</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Damià Benet Morant</dc:creator>
  <cp:keywords/>
  <dc:description/>
  <cp:lastModifiedBy>Anonymous</cp:lastModifiedBy>
  <cp:revision>5</cp:revision>
  <dcterms:created xsi:type="dcterms:W3CDTF">2026-06-29T08:01:00Z</dcterms:created>
  <dcterms:modified xsi:type="dcterms:W3CDTF">2026-10-11T04:47:00Z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zotero-version="9.0.4"&gt;&lt;session id="5RAPFUie"/&gt;&lt;style id="http://www.zotero.org/styles/apa" locale="en-US" hasBibliography="1" bibliographyStyleHasBeenSet="1"/&gt;&lt;prefs&gt;&lt;pref name="fieldType" value="Field"/&gt;&lt;/prefs&gt;&lt;/data&gt;</vt:lpwstr>
  </property>
</Properties>
</file>