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1E0C2" w14:textId="77777777" w:rsidR="006F74FD" w:rsidRPr="006F74FD" w:rsidRDefault="006F74FD" w:rsidP="006F74FD">
      <w:pPr>
        <w:pStyle w:val="Authors"/>
        <w:rPr>
          <w:rFonts w:ascii="CMU Sans Serif Demi Condensed" w:hAnsi="CMU Sans Serif Demi Condensed"/>
          <w:b/>
          <w:sz w:val="34"/>
          <w:lang w:val="en-US"/>
        </w:rPr>
      </w:pPr>
      <w:r w:rsidRPr="006F74FD">
        <w:rPr>
          <w:rFonts w:ascii="CMU Sans Serif Demi Condensed" w:hAnsi="CMU Sans Serif Demi Condensed"/>
          <w:b/>
          <w:sz w:val="28"/>
          <w:szCs w:val="21"/>
          <w:lang w:val="en-US"/>
        </w:rPr>
        <w:t>This Supplementary Material accompanies the article:</w:t>
      </w:r>
      <w:r w:rsidRPr="006F74FD">
        <w:rPr>
          <w:rFonts w:ascii="CMU Sans Serif Demi Condensed" w:hAnsi="CMU Sans Serif Demi Condensed"/>
          <w:b/>
          <w:sz w:val="28"/>
          <w:szCs w:val="21"/>
          <w:lang w:val="en-US"/>
        </w:rPr>
        <w:br/>
      </w:r>
      <w:r w:rsidRPr="006F74FD">
        <w:rPr>
          <w:rFonts w:ascii="CMU Sans Serif Demi Condensed" w:hAnsi="CMU Sans Serif Demi Condensed"/>
          <w:b/>
          <w:sz w:val="34"/>
          <w:lang w:val="en-US"/>
        </w:rPr>
        <w:br/>
      </w:r>
      <w:proofErr w:type="spellStart"/>
      <w:r w:rsidRPr="006F74FD">
        <w:rPr>
          <w:rFonts w:ascii="CMU Sans Serif Demi Condensed" w:hAnsi="CMU Sans Serif Demi Condensed"/>
          <w:b/>
          <w:sz w:val="34"/>
          <w:lang w:val="en-US"/>
        </w:rPr>
        <w:t>Siebach</w:t>
      </w:r>
      <w:proofErr w:type="spellEnd"/>
      <w:r w:rsidRPr="006F74FD">
        <w:rPr>
          <w:rFonts w:ascii="CMU Sans Serif Demi Condensed" w:hAnsi="CMU Sans Serif Demi Condensed"/>
          <w:b/>
          <w:sz w:val="34"/>
          <w:lang w:val="en-US"/>
        </w:rPr>
        <w:t>, J. A., Peate, D. W. and Horkley, L. K. (2026) “</w:t>
      </w:r>
      <w:proofErr w:type="spellStart"/>
      <w:r w:rsidRPr="006F74FD">
        <w:rPr>
          <w:rFonts w:ascii="CMU Sans Serif Demi Condensed" w:hAnsi="CMU Sans Serif Demi Condensed"/>
          <w:b/>
          <w:sz w:val="34"/>
          <w:lang w:val="en-US"/>
        </w:rPr>
        <w:t>Snæfellsnes</w:t>
      </w:r>
      <w:proofErr w:type="spellEnd"/>
      <w:r w:rsidRPr="006F74FD">
        <w:rPr>
          <w:rFonts w:ascii="CMU Sans Serif Demi Condensed" w:hAnsi="CMU Sans Serif Demi Condensed"/>
          <w:b/>
          <w:sz w:val="34"/>
          <w:lang w:val="en-US"/>
        </w:rPr>
        <w:t xml:space="preserve"> – off-axis volcanism in Western Iceland: mantle lithology and temperature”, </w:t>
      </w:r>
      <w:r w:rsidRPr="006F74FD">
        <w:rPr>
          <w:rFonts w:ascii="CMU Sans Serif Demi Condensed" w:hAnsi="CMU Sans Serif Demi Condensed"/>
          <w:b/>
          <w:i/>
          <w:iCs/>
          <w:sz w:val="34"/>
          <w:lang w:val="en-US"/>
        </w:rPr>
        <w:t>Volcanica</w:t>
      </w:r>
      <w:r w:rsidRPr="006F74FD">
        <w:rPr>
          <w:rFonts w:ascii="CMU Sans Serif Demi Condensed" w:hAnsi="CMU Sans Serif Demi Condensed"/>
          <w:b/>
          <w:sz w:val="34"/>
          <w:lang w:val="en-US"/>
        </w:rPr>
        <w:t xml:space="preserve">, 9(2). </w:t>
      </w:r>
      <w:proofErr w:type="spellStart"/>
      <w:r w:rsidRPr="006F74FD">
        <w:rPr>
          <w:rFonts w:ascii="CMU Sans Serif Demi Condensed" w:hAnsi="CMU Sans Serif Demi Condensed"/>
          <w:b/>
          <w:sz w:val="34"/>
          <w:lang w:val="en-US"/>
        </w:rPr>
        <w:t>doi</w:t>
      </w:r>
      <w:proofErr w:type="spellEnd"/>
      <w:r w:rsidRPr="006F74FD">
        <w:rPr>
          <w:rFonts w:ascii="CMU Sans Serif Demi Condensed" w:hAnsi="CMU Sans Serif Demi Condensed"/>
          <w:b/>
          <w:sz w:val="34"/>
          <w:lang w:val="en-US"/>
        </w:rPr>
        <w:t>: 10.30909/vol/ccol9499.</w:t>
      </w:r>
    </w:p>
    <w:p w14:paraId="35CB7764" w14:textId="77777777" w:rsidR="006F74FD" w:rsidRDefault="006F74FD" w:rsidP="006F74FD">
      <w:pPr>
        <w:pStyle w:val="Authors"/>
        <w:rPr>
          <w:rFonts w:ascii="CMU Sans Serif Demi Condensed" w:hAnsi="CMU Sans Serif Demi Condensed"/>
          <w:b/>
          <w:sz w:val="34"/>
          <w:lang w:val="en-US"/>
        </w:rPr>
      </w:pPr>
    </w:p>
    <w:p w14:paraId="7E7835D5" w14:textId="5262DD2A" w:rsidR="006F74FD" w:rsidRPr="006F74FD" w:rsidRDefault="006F74FD" w:rsidP="006F74FD">
      <w:pPr>
        <w:pStyle w:val="Authors"/>
        <w:rPr>
          <w:rFonts w:ascii="CMU Sans Serif Demi Condensed" w:hAnsi="CMU Sans Serif Demi Condensed"/>
          <w:bCs/>
          <w:sz w:val="28"/>
          <w:szCs w:val="21"/>
          <w:lang w:val="en-US"/>
        </w:rPr>
      </w:pPr>
      <w:proofErr w:type="spellStart"/>
      <w:r w:rsidRPr="006F74FD">
        <w:rPr>
          <w:rFonts w:ascii="CMU Sans Serif Demi Condensed" w:hAnsi="CMU Sans Serif Demi Condensed"/>
          <w:bCs/>
          <w:sz w:val="28"/>
          <w:szCs w:val="21"/>
          <w:lang w:val="en-US"/>
        </w:rPr>
        <w:t>Siebach</w:t>
      </w:r>
      <w:proofErr w:type="spellEnd"/>
      <w:r w:rsidRPr="006F74FD">
        <w:rPr>
          <w:rFonts w:ascii="CMU Sans Serif Demi Condensed" w:hAnsi="CMU Sans Serif Demi Condensed"/>
          <w:bCs/>
          <w:sz w:val="28"/>
          <w:szCs w:val="21"/>
          <w:lang w:val="en-US"/>
        </w:rPr>
        <w:t xml:space="preserve"> et al. (2026) should be cited if this material is used.</w:t>
      </w:r>
    </w:p>
    <w:p w14:paraId="7ECAC6D9" w14:textId="77777777" w:rsidR="006F74FD" w:rsidRDefault="006F74FD" w:rsidP="00BB072E">
      <w:pPr>
        <w:pStyle w:val="Authors"/>
        <w:rPr>
          <w:rFonts w:ascii="CMU Sans Serif Demi Condensed" w:hAnsi="CMU Sans Serif Demi Condensed"/>
          <w:b/>
          <w:sz w:val="34"/>
          <w:lang w:val="en-US"/>
        </w:rPr>
      </w:pPr>
    </w:p>
    <w:p w14:paraId="49987CEF" w14:textId="77777777" w:rsidR="006F74FD" w:rsidRDefault="006F74FD" w:rsidP="00BB072E">
      <w:pPr>
        <w:pStyle w:val="Authors"/>
        <w:rPr>
          <w:rFonts w:ascii="CMU Sans Serif Demi Condensed" w:hAnsi="CMU Sans Serif Demi Condensed"/>
          <w:b/>
          <w:sz w:val="34"/>
          <w:lang w:val="en-US"/>
        </w:rPr>
      </w:pPr>
    </w:p>
    <w:p w14:paraId="7396A895" w14:textId="1712DC42" w:rsidR="00E95818" w:rsidRPr="00E95818" w:rsidRDefault="00E95818" w:rsidP="00BB072E">
      <w:pPr>
        <w:pStyle w:val="Authors"/>
        <w:rPr>
          <w:rFonts w:ascii="CMU Sans Serif Demi Condensed" w:hAnsi="CMU Sans Serif Demi Condensed"/>
          <w:b/>
          <w:sz w:val="34"/>
          <w:lang w:val="en-US"/>
        </w:rPr>
      </w:pPr>
      <w:r w:rsidRPr="00E95818">
        <w:rPr>
          <w:rFonts w:ascii="CMU Sans Serif Demi Condensed" w:hAnsi="CMU Sans Serif Demi Condensed"/>
          <w:b/>
          <w:sz w:val="34"/>
          <w:lang w:val="en-US"/>
        </w:rPr>
        <w:t>Supplementary Material</w:t>
      </w:r>
    </w:p>
    <w:p w14:paraId="6DA69FB2" w14:textId="77777777" w:rsidR="00E95818" w:rsidRPr="00E95818" w:rsidRDefault="00E95818" w:rsidP="00BB072E">
      <w:pPr>
        <w:pStyle w:val="Heading4"/>
        <w:jc w:val="left"/>
        <w:rPr>
          <w:rFonts w:ascii="CMU Sans Serif Demi Condensed" w:hAnsi="CMU Sans Serif Demi Condensed"/>
          <w:b/>
          <w:sz w:val="28"/>
          <w:lang w:val="en-US"/>
        </w:rPr>
      </w:pPr>
      <w:r w:rsidRPr="00E95818">
        <w:rPr>
          <w:rFonts w:ascii="CMU Sans Serif Demi Condensed" w:hAnsi="CMU Sans Serif Demi Condensed"/>
          <w:b/>
          <w:sz w:val="28"/>
          <w:lang w:val="en-US"/>
        </w:rPr>
        <w:t>Detailed Sample Preparation Methods</w:t>
      </w:r>
    </w:p>
    <w:p w14:paraId="63A8F3FB" w14:textId="1F49A804" w:rsidR="00414BC4" w:rsidRPr="0088520B" w:rsidRDefault="00E95818" w:rsidP="00BB072E">
      <w:pPr>
        <w:jc w:val="left"/>
        <w:rPr>
          <w:b/>
        </w:rPr>
      </w:pPr>
      <w:r w:rsidRPr="00E95818">
        <w:rPr>
          <w:b/>
          <w:noProof/>
        </w:rPr>
        <mc:AlternateContent>
          <mc:Choice Requires="wps">
            <w:drawing>
              <wp:anchor distT="45720" distB="45720" distL="114300" distR="114300" simplePos="0" relativeHeight="251661312" behindDoc="0" locked="0" layoutInCell="1" allowOverlap="1" wp14:anchorId="67BF61E4" wp14:editId="6503ED79">
                <wp:simplePos x="0" y="0"/>
                <wp:positionH relativeFrom="column">
                  <wp:posOffset>3292475</wp:posOffset>
                </wp:positionH>
                <wp:positionV relativeFrom="paragraph">
                  <wp:posOffset>1335405</wp:posOffset>
                </wp:positionV>
                <wp:extent cx="2360930" cy="1404620"/>
                <wp:effectExtent l="0" t="0" r="381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3795708" w14:textId="174BAC0B" w:rsidR="00E95818" w:rsidRDefault="00E95818">
                            <w:r>
                              <w:t>(1)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type w14:anchorId="67BF61E4" id="_x0000_t202" coordsize="21600,21600" o:spt="202" path="m,l,21600r21600,l21600,xe">
                <v:stroke joinstyle="miter"/>
                <v:path gradientshapeok="t" o:connecttype="rect"/>
              </v:shapetype>
              <v:shape id="Text Box 2" o:spid="_x0000_s1026" type="#_x0000_t202" style="position:absolute;margin-left:259.25pt;margin-top:105.1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" stroked="f">
                <v:textbox style="mso-fit-shape-to-text:t">
                  <w:txbxContent>
                    <w:p w14:paraId="63795708" w14:textId="174BAC0B" w:rsidR="00E95818" w:rsidRDefault="00E95818">
                      <w:r>
                        <w:t>(1)</w:t>
                      </w:r>
                    </w:p>
                  </w:txbxContent>
                </v:textbox>
                <w10:wrap type="square"/>
              </v:shape>
            </w:pict>
          </mc:Fallback>
        </mc:AlternateContent>
      </w:r>
      <w:r w:rsidRPr="000F4A46">
        <w:rPr>
          <w:b/>
          <w:bCs/>
          <w:noProof/>
          <w:color w:val="000000" w:themeColor="text1"/>
          <w:kern w:val="24"/>
          <w:sz w:val="24"/>
        </w:rPr>
        <w:drawing>
          <wp:anchor distT="0" distB="0" distL="114300" distR="114300" simplePos="0" relativeHeight="251659264" behindDoc="0" locked="0" layoutInCell="1" allowOverlap="1" wp14:anchorId="37399A4E" wp14:editId="70970E60">
            <wp:simplePos x="0" y="0"/>
            <wp:positionH relativeFrom="margin">
              <wp:align>left</wp:align>
            </wp:positionH>
            <wp:positionV relativeFrom="paragraph">
              <wp:posOffset>383540</wp:posOffset>
            </wp:positionV>
            <wp:extent cx="2960370" cy="2220595"/>
            <wp:effectExtent l="0" t="0" r="0" b="0"/>
            <wp:wrapTopAndBottom/>
            <wp:docPr id="119" name="Picture 119"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Shape&#10;&#10;Description automatically generated with low confiden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0513"/>
                    <a:stretch/>
                  </pic:blipFill>
                  <pic:spPr bwMode="auto">
                    <a:xfrm>
                      <a:off x="0" y="0"/>
                      <a:ext cx="2960370" cy="2220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4BC4" w:rsidRPr="0088520B">
        <w:rPr>
          <w:b/>
        </w:rPr>
        <w:t xml:space="preserve">Define any equations in the Equation environment: </w:t>
      </w:r>
    </w:p>
    <w:p w14:paraId="025876BE" w14:textId="7CD1198D" w:rsidR="0020057A" w:rsidRPr="0088520B" w:rsidRDefault="0020057A" w:rsidP="00BB072E">
      <w:pPr>
        <w:jc w:val="left"/>
      </w:pPr>
    </w:p>
    <w:p w14:paraId="1884C57B" w14:textId="4AB4591A" w:rsidR="00E95818" w:rsidRPr="00E95818" w:rsidRDefault="00E95818" w:rsidP="00BB072E">
      <w:pPr>
        <w:jc w:val="left"/>
        <w:rPr>
          <w:lang w:val="en-US"/>
        </w:rPr>
      </w:pPr>
      <w:r w:rsidRPr="00E95818">
        <w:rPr>
          <w:lang w:val="en-US"/>
        </w:rPr>
        <w:t xml:space="preserve">Using a binocular microscope, olivine </w:t>
      </w:r>
      <w:proofErr w:type="spellStart"/>
      <w:r w:rsidRPr="00E95818">
        <w:rPr>
          <w:lang w:val="en-US"/>
        </w:rPr>
        <w:t>macrocrysts</w:t>
      </w:r>
      <w:proofErr w:type="spellEnd"/>
      <w:r w:rsidRPr="00E95818">
        <w:rPr>
          <w:lang w:val="en-US"/>
        </w:rPr>
        <w:t xml:space="preserve"> were hand-picked from crushed and sieved (0.5</w:t>
      </w:r>
      <w:r w:rsidR="00EB79CC">
        <w:rPr>
          <w:lang w:val="en-US"/>
        </w:rPr>
        <w:t>–</w:t>
      </w:r>
      <w:r w:rsidRPr="00E95818">
        <w:rPr>
          <w:lang w:val="en-US"/>
        </w:rPr>
        <w:t xml:space="preserve">1 mm) whole rock samples and subsequently mounted in 1-inch epoxy rounds. The rounds were polished, cleaned with ethanol, and then carbon coated. Major and trace element analyses of olivine </w:t>
      </w:r>
      <w:proofErr w:type="spellStart"/>
      <w:r w:rsidRPr="00E95818">
        <w:rPr>
          <w:lang w:val="en-US"/>
        </w:rPr>
        <w:t>macrocrysts</w:t>
      </w:r>
      <w:proofErr w:type="spellEnd"/>
      <w:r w:rsidRPr="00E95818">
        <w:rPr>
          <w:lang w:val="en-US"/>
        </w:rPr>
        <w:t xml:space="preserve"> were conducted on a </w:t>
      </w:r>
      <w:r w:rsidR="00361BFB">
        <w:rPr>
          <w:lang w:val="en-US"/>
        </w:rPr>
        <w:t xml:space="preserve">JEOL </w:t>
      </w:r>
      <w:proofErr w:type="spellStart"/>
      <w:r w:rsidRPr="00E95818">
        <w:rPr>
          <w:lang w:val="en-US"/>
        </w:rPr>
        <w:t>Superprobe</w:t>
      </w:r>
      <w:proofErr w:type="spellEnd"/>
      <w:r w:rsidRPr="00E95818">
        <w:rPr>
          <w:lang w:val="en-US"/>
        </w:rPr>
        <w:t xml:space="preserve"> JXA-8230 (Electron Probe Microanalyzer</w:t>
      </w:r>
      <w:r w:rsidR="00361BFB">
        <w:rPr>
          <w:lang w:val="en-US"/>
        </w:rPr>
        <w:t>; EPMA</w:t>
      </w:r>
      <w:r w:rsidRPr="00E95818">
        <w:rPr>
          <w:lang w:val="en-US"/>
        </w:rPr>
        <w:t xml:space="preserve">) in the Department of Earth and Environmental Sciences, University of Iowa. Energy Dispersive Spectroscopy (EDS) was used to initially screen the </w:t>
      </w:r>
      <w:proofErr w:type="spellStart"/>
      <w:r w:rsidRPr="00E95818">
        <w:rPr>
          <w:lang w:val="en-US"/>
        </w:rPr>
        <w:t>olivines</w:t>
      </w:r>
      <w:proofErr w:type="spellEnd"/>
      <w:r w:rsidRPr="00E95818">
        <w:rPr>
          <w:lang w:val="en-US"/>
        </w:rPr>
        <w:t xml:space="preserve"> to </w:t>
      </w:r>
      <w:r w:rsidRPr="00E95818">
        <w:rPr>
          <w:lang w:val="en-US"/>
        </w:rPr>
        <w:lastRenderedPageBreak/>
        <w:t xml:space="preserve">target high </w:t>
      </w:r>
      <w:proofErr w:type="spellStart"/>
      <w:r w:rsidRPr="00E95818">
        <w:rPr>
          <w:lang w:val="en-US"/>
        </w:rPr>
        <w:t>forsteritic</w:t>
      </w:r>
      <w:proofErr w:type="spellEnd"/>
      <w:r w:rsidRPr="00E95818">
        <w:rPr>
          <w:lang w:val="en-US"/>
        </w:rPr>
        <w:t xml:space="preserve"> (Fo &gt; 85 %) olivine, as the focus of the study is to infer source lithology and relative concentrations of minor elements can be influenced by co-crystallization of other phases in less primitive melts with lower Fo % </w:t>
      </w:r>
      <w:proofErr w:type="spellStart"/>
      <w:r w:rsidRPr="00E95818">
        <w:rPr>
          <w:lang w:val="en-US"/>
        </w:rPr>
        <w:t>olivines</w:t>
      </w:r>
      <w:proofErr w:type="spellEnd"/>
      <w:r w:rsidRPr="00E95818">
        <w:rPr>
          <w:lang w:val="en-US"/>
        </w:rPr>
        <w:t xml:space="preserve">. Each olivine was analyzed for the following </w:t>
      </w:r>
      <w:proofErr w:type="gramStart"/>
      <w:r w:rsidRPr="00E95818">
        <w:rPr>
          <w:lang w:val="en-US"/>
        </w:rPr>
        <w:t>elements;</w:t>
      </w:r>
      <w:proofErr w:type="gramEnd"/>
      <w:r w:rsidRPr="00E95818">
        <w:rPr>
          <w:lang w:val="en-US"/>
        </w:rPr>
        <w:t xml:space="preserve"> Si, Fe, Mn, Mg, Ca, Ni, Co, and Cr. The </w:t>
      </w:r>
      <w:proofErr w:type="spellStart"/>
      <w:r w:rsidRPr="00E95818">
        <w:rPr>
          <w:lang w:val="en-US"/>
        </w:rPr>
        <w:t>macrocryst</w:t>
      </w:r>
      <w:proofErr w:type="spellEnd"/>
      <w:r w:rsidRPr="00E95818">
        <w:rPr>
          <w:lang w:val="en-US"/>
        </w:rPr>
        <w:t xml:space="preserve"> data were collected over three sessions, targeting a minimum of 30 </w:t>
      </w:r>
      <w:proofErr w:type="spellStart"/>
      <w:r w:rsidRPr="00E95818">
        <w:rPr>
          <w:lang w:val="en-US"/>
        </w:rPr>
        <w:t>macrocrysts</w:t>
      </w:r>
      <w:proofErr w:type="spellEnd"/>
      <w:r w:rsidRPr="00E95818">
        <w:rPr>
          <w:lang w:val="en-US"/>
        </w:rPr>
        <w:t xml:space="preserve"> with Fo &gt; 85 % per sample. Calibrations using natural and synthetic standards were performed at the beginning of each run. The EPMA settings are based on the method for high precision analyses published in Sobolev et al.</w:t>
      </w:r>
      <w:r w:rsidR="0083200F">
        <w:rPr>
          <w:lang w:val="en-US"/>
        </w:rPr>
        <w:t xml:space="preserve"> [</w:t>
      </w:r>
      <w:r w:rsidRPr="00E95818">
        <w:rPr>
          <w:lang w:val="en-US"/>
        </w:rPr>
        <w:t>2007</w:t>
      </w:r>
      <w:r w:rsidR="0083200F">
        <w:rPr>
          <w:lang w:val="en-US"/>
        </w:rPr>
        <w:t>]</w:t>
      </w:r>
      <w:r w:rsidRPr="00E95818">
        <w:rPr>
          <w:lang w:val="en-US"/>
        </w:rPr>
        <w:t xml:space="preserve">, with an acceleration voltage of 20 kV and 200 </w:t>
      </w:r>
      <w:proofErr w:type="spellStart"/>
      <w:r w:rsidRPr="00E95818">
        <w:rPr>
          <w:lang w:val="en-US"/>
        </w:rPr>
        <w:t>nA</w:t>
      </w:r>
      <w:proofErr w:type="spellEnd"/>
      <w:r w:rsidRPr="00E95818">
        <w:rPr>
          <w:lang w:val="en-US"/>
        </w:rPr>
        <w:t xml:space="preserve"> beam current. The analytical settings and the count times are provided </w:t>
      </w:r>
      <w:r w:rsidR="00200EBF">
        <w:rPr>
          <w:lang w:val="en-US"/>
        </w:rPr>
        <w:t>in Supplementary Material 2 (page 1)</w:t>
      </w:r>
      <w:r w:rsidRPr="00E95818">
        <w:rPr>
          <w:lang w:val="en-US"/>
        </w:rPr>
        <w:t xml:space="preserve">. The analytical reproducibility was tracked using replicate analyses of the San Carlos olivine standard from the Smithsonian (USNM 111321/44). The accuracy was assessed by comparisons with other published high precision analyses of the San Carlos olivine. These results are displayed </w:t>
      </w:r>
      <w:r w:rsidR="00200EBF">
        <w:rPr>
          <w:lang w:val="en-US"/>
        </w:rPr>
        <w:t>in Supplementary Material 2 (page 1)</w:t>
      </w:r>
      <w:r w:rsidRPr="00E95818">
        <w:rPr>
          <w:lang w:val="en-US"/>
        </w:rPr>
        <w:t xml:space="preserve">. Full olivine dataset can be found </w:t>
      </w:r>
      <w:r w:rsidR="00200EBF">
        <w:rPr>
          <w:lang w:val="en-US"/>
        </w:rPr>
        <w:t>in Supplementary Material 2 (page 2)</w:t>
      </w:r>
      <w:r w:rsidRPr="00E95818">
        <w:rPr>
          <w:lang w:val="en-US"/>
        </w:rPr>
        <w:t xml:space="preserve">. </w:t>
      </w:r>
    </w:p>
    <w:p w14:paraId="3898C7B1" w14:textId="628FCC84" w:rsidR="00E95818" w:rsidRPr="00E95818" w:rsidRDefault="00E95818" w:rsidP="00BB072E">
      <w:pPr>
        <w:jc w:val="left"/>
        <w:rPr>
          <w:lang w:val="en-US"/>
        </w:rPr>
      </w:pPr>
      <w:r w:rsidRPr="00E95818">
        <w:rPr>
          <w:lang w:val="en-US"/>
        </w:rPr>
        <w:t xml:space="preserve">Al-in-olivine thermometry </w:t>
      </w:r>
      <w:r w:rsidR="00200EBF">
        <w:rPr>
          <w:lang w:val="en-US"/>
        </w:rPr>
        <w:t>[</w:t>
      </w:r>
      <w:r w:rsidRPr="00E95818">
        <w:rPr>
          <w:lang w:val="en-US"/>
        </w:rPr>
        <w:t>Wan et al. 2008</w:t>
      </w:r>
      <w:r w:rsidR="00200EBF">
        <w:rPr>
          <w:lang w:val="en-US"/>
        </w:rPr>
        <w:t>]</w:t>
      </w:r>
      <w:r w:rsidRPr="00E95818">
        <w:rPr>
          <w:lang w:val="en-US"/>
        </w:rPr>
        <w:t xml:space="preserve"> was conducted on the same sample set, with the addition of </w:t>
      </w:r>
      <w:proofErr w:type="spellStart"/>
      <w:r w:rsidRPr="00E95818">
        <w:rPr>
          <w:lang w:val="en-US"/>
        </w:rPr>
        <w:t>olivines</w:t>
      </w:r>
      <w:proofErr w:type="spellEnd"/>
      <w:r w:rsidRPr="00E95818">
        <w:rPr>
          <w:lang w:val="en-US"/>
        </w:rPr>
        <w:t xml:space="preserve"> </w:t>
      </w:r>
      <w:proofErr w:type="spellStart"/>
      <w:r w:rsidRPr="00E95818">
        <w:rPr>
          <w:lang w:val="en-US"/>
        </w:rPr>
        <w:t>macrocrysts</w:t>
      </w:r>
      <w:proofErr w:type="spellEnd"/>
      <w:r w:rsidRPr="00E95818">
        <w:rPr>
          <w:lang w:val="en-US"/>
        </w:rPr>
        <w:t xml:space="preserve"> from </w:t>
      </w:r>
      <w:proofErr w:type="spellStart"/>
      <w:r w:rsidRPr="00E95818">
        <w:rPr>
          <w:lang w:val="en-US"/>
        </w:rPr>
        <w:t>Vatnafell</w:t>
      </w:r>
      <w:proofErr w:type="spellEnd"/>
      <w:r w:rsidRPr="00E95818">
        <w:rPr>
          <w:lang w:val="en-US"/>
        </w:rPr>
        <w:t xml:space="preserve">, a subglacial </w:t>
      </w:r>
      <w:proofErr w:type="spellStart"/>
      <w:r w:rsidRPr="00E95818">
        <w:rPr>
          <w:lang w:val="en-US"/>
        </w:rPr>
        <w:t>tuya</w:t>
      </w:r>
      <w:proofErr w:type="spellEnd"/>
      <w:r w:rsidRPr="00E95818">
        <w:rPr>
          <w:lang w:val="en-US"/>
        </w:rPr>
        <w:t xml:space="preserve">, located between the </w:t>
      </w:r>
      <w:proofErr w:type="spellStart"/>
      <w:r w:rsidRPr="00E95818">
        <w:rPr>
          <w:lang w:val="en-US"/>
        </w:rPr>
        <w:t>Lysusgarð</w:t>
      </w:r>
      <w:proofErr w:type="spellEnd"/>
      <w:r w:rsidRPr="00E95818">
        <w:rPr>
          <w:lang w:val="en-US"/>
        </w:rPr>
        <w:t xml:space="preserve"> and </w:t>
      </w:r>
      <w:proofErr w:type="spellStart"/>
      <w:r w:rsidRPr="00E95818">
        <w:rPr>
          <w:lang w:val="en-US"/>
        </w:rPr>
        <w:t>Ljósufjöll</w:t>
      </w:r>
      <w:proofErr w:type="spellEnd"/>
      <w:r w:rsidRPr="00E95818">
        <w:rPr>
          <w:lang w:val="en-US"/>
        </w:rPr>
        <w:t xml:space="preserve"> volcanic systems </w:t>
      </w:r>
      <w:r w:rsidR="00200EBF">
        <w:rPr>
          <w:lang w:val="en-US"/>
        </w:rPr>
        <w:t>[</w:t>
      </w:r>
      <w:r w:rsidRPr="00E95818">
        <w:rPr>
          <w:lang w:val="en-US"/>
        </w:rPr>
        <w:t>see Burney et al. 2020</w:t>
      </w:r>
      <w:r w:rsidR="00200EBF">
        <w:rPr>
          <w:lang w:val="en-US"/>
        </w:rPr>
        <w:t>]</w:t>
      </w:r>
      <w:r w:rsidRPr="00E95818">
        <w:rPr>
          <w:lang w:val="en-US"/>
        </w:rPr>
        <w:t xml:space="preserve">. Although high forsterite </w:t>
      </w:r>
      <w:proofErr w:type="spellStart"/>
      <w:r w:rsidRPr="00E95818">
        <w:rPr>
          <w:lang w:val="en-US"/>
        </w:rPr>
        <w:t>olivines</w:t>
      </w:r>
      <w:proofErr w:type="spellEnd"/>
      <w:r w:rsidRPr="00E95818">
        <w:rPr>
          <w:lang w:val="en-US"/>
        </w:rPr>
        <w:t xml:space="preserve"> were preferred, </w:t>
      </w:r>
      <w:proofErr w:type="gramStart"/>
      <w:r w:rsidRPr="00E95818">
        <w:rPr>
          <w:lang w:val="en-US"/>
        </w:rPr>
        <w:t>in order to</w:t>
      </w:r>
      <w:proofErr w:type="gramEnd"/>
      <w:r w:rsidRPr="00E95818">
        <w:rPr>
          <w:lang w:val="en-US"/>
        </w:rPr>
        <w:t xml:space="preserve"> maximize the temperature dataset, any available olivine</w:t>
      </w:r>
      <w:r w:rsidR="00200EBF">
        <w:rPr>
          <w:lang w:val="en-US"/>
        </w:rPr>
        <w:t>-</w:t>
      </w:r>
      <w:r w:rsidRPr="00E95818">
        <w:rPr>
          <w:lang w:val="en-US"/>
        </w:rPr>
        <w:t>spinel pair</w:t>
      </w:r>
      <w:r w:rsidR="00200EBF">
        <w:rPr>
          <w:lang w:val="en-US"/>
        </w:rPr>
        <w:t>s</w:t>
      </w:r>
      <w:r w:rsidRPr="00E95818">
        <w:rPr>
          <w:lang w:val="en-US"/>
        </w:rPr>
        <w:t xml:space="preserve"> were analyzed. EPMA analyses were conducted over four sessions. The </w:t>
      </w:r>
      <w:proofErr w:type="spellStart"/>
      <w:r w:rsidRPr="00E95818">
        <w:rPr>
          <w:lang w:val="en-US"/>
        </w:rPr>
        <w:t>olivines</w:t>
      </w:r>
      <w:proofErr w:type="spellEnd"/>
      <w:r w:rsidRPr="00E95818">
        <w:rPr>
          <w:lang w:val="en-US"/>
        </w:rPr>
        <w:t xml:space="preserve"> were analyzed for Si, Mg, Al, Ca, Cr, Fe, Mn, Ni, Co, Ti, P, and V. The </w:t>
      </w:r>
      <w:proofErr w:type="spellStart"/>
      <w:r w:rsidRPr="00E95818">
        <w:rPr>
          <w:lang w:val="en-US"/>
        </w:rPr>
        <w:t>spinels</w:t>
      </w:r>
      <w:proofErr w:type="spellEnd"/>
      <w:r w:rsidRPr="00E95818">
        <w:rPr>
          <w:lang w:val="en-US"/>
        </w:rPr>
        <w:t xml:space="preserve"> were analyzed for Mg, Al, Ti, Mn, Fe, Cr, Ni, and V. EPMA calibrations using natural and synthetic standards were performed at the beginning of each run. An acceleration voltage of 20 kV and currents of 200 </w:t>
      </w:r>
      <w:proofErr w:type="spellStart"/>
      <w:r w:rsidRPr="00E95818">
        <w:rPr>
          <w:lang w:val="en-US"/>
        </w:rPr>
        <w:t>nA</w:t>
      </w:r>
      <w:proofErr w:type="spellEnd"/>
      <w:r w:rsidRPr="00E95818">
        <w:rPr>
          <w:lang w:val="en-US"/>
        </w:rPr>
        <w:t xml:space="preserve"> and 20 </w:t>
      </w:r>
      <w:proofErr w:type="spellStart"/>
      <w:r w:rsidRPr="00E95818">
        <w:rPr>
          <w:lang w:val="en-US"/>
        </w:rPr>
        <w:t>nA</w:t>
      </w:r>
      <w:proofErr w:type="spellEnd"/>
      <w:r w:rsidRPr="00E95818">
        <w:rPr>
          <w:lang w:val="en-US"/>
        </w:rPr>
        <w:t xml:space="preserve"> were used for olivine and spinel</w:t>
      </w:r>
      <w:r w:rsidR="00200EBF">
        <w:rPr>
          <w:lang w:val="en-US"/>
        </w:rPr>
        <w:t>,</w:t>
      </w:r>
      <w:r w:rsidRPr="00E95818">
        <w:rPr>
          <w:lang w:val="en-US"/>
        </w:rPr>
        <w:t xml:space="preserve"> respectively. The count times and beam settings were chosen to ensure detection limits low enough (~ 10–12 ppm) to accurately quantify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in olivine. The analytical precision and reproducibility were tracked by replicate analyses of the San Carlos Olivine (USNM 111321/44) and Chromite (NMNH 117075) standards. The analytical precision of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was 1σ = 0.002 </w:t>
      </w:r>
      <w:proofErr w:type="spellStart"/>
      <w:r w:rsidRPr="00E95818">
        <w:rPr>
          <w:lang w:val="en-US"/>
        </w:rPr>
        <w:t>wt</w:t>
      </w:r>
      <w:proofErr w:type="spellEnd"/>
      <w:r w:rsidRPr="00E95818">
        <w:rPr>
          <w:lang w:val="en-US"/>
        </w:rPr>
        <w:t>% in olivine, for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and Cr</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in spinel the precision was 1σ = 0.06 </w:t>
      </w:r>
      <w:proofErr w:type="spellStart"/>
      <w:r w:rsidRPr="00E95818">
        <w:rPr>
          <w:lang w:val="en-US"/>
        </w:rPr>
        <w:t>wt</w:t>
      </w:r>
      <w:proofErr w:type="spellEnd"/>
      <w:r w:rsidRPr="00E95818">
        <w:rPr>
          <w:lang w:val="en-US"/>
        </w:rPr>
        <w:t xml:space="preserve">% and 1σ = 0.7 </w:t>
      </w:r>
      <w:proofErr w:type="spellStart"/>
      <w:r w:rsidRPr="00E95818">
        <w:rPr>
          <w:lang w:val="en-US"/>
        </w:rPr>
        <w:t>wt</w:t>
      </w:r>
      <w:proofErr w:type="spellEnd"/>
      <w:r w:rsidRPr="00E95818">
        <w:rPr>
          <w:lang w:val="en-US"/>
        </w:rPr>
        <w:t xml:space="preserve">% respectively. The specific analytical settings, count times, and standard reproducibility can be found in </w:t>
      </w:r>
      <w:r w:rsidR="00200EBF">
        <w:rPr>
          <w:lang w:val="en-US"/>
        </w:rPr>
        <w:t>Supplementary Material 2</w:t>
      </w:r>
      <w:r w:rsidRPr="00E95818">
        <w:rPr>
          <w:lang w:val="en-US"/>
        </w:rPr>
        <w:t xml:space="preserve">. It should be noted that the count times between the high precision and thermometry olivine analyses are different. Initially, the </w:t>
      </w:r>
      <w:proofErr w:type="spellStart"/>
      <w:r w:rsidRPr="00E95818">
        <w:rPr>
          <w:lang w:val="en-US"/>
        </w:rPr>
        <w:t>macrocryst</w:t>
      </w:r>
      <w:proofErr w:type="spellEnd"/>
      <w:r w:rsidRPr="00E95818">
        <w:rPr>
          <w:lang w:val="en-US"/>
        </w:rPr>
        <w:t xml:space="preserve"> analysis procedure included Al, however, I was unable to accurately reproduce published Al values for San Carlos olivine. We found that the addition of an extended wavelength peak scan (&gt; 6 minutes) for the Al peak at the beginning of each run corrected this problem and allowed us to reduce the total count times for all elements. The results for the olivine standard, using both methods, are displayed separately </w:t>
      </w:r>
      <w:r w:rsidR="00200EBF">
        <w:rPr>
          <w:lang w:val="en-US"/>
        </w:rPr>
        <w:t>in Supplementary Material 2 (page 1)</w:t>
      </w:r>
      <w:r w:rsidRPr="00E95818">
        <w:rPr>
          <w:lang w:val="en-US"/>
        </w:rPr>
        <w:t xml:space="preserve">. </w:t>
      </w:r>
    </w:p>
    <w:p w14:paraId="58319A21" w14:textId="3CFE64F7" w:rsidR="00E95818" w:rsidRPr="00E95818" w:rsidRDefault="00E95818" w:rsidP="00BB072E">
      <w:pPr>
        <w:jc w:val="left"/>
        <w:rPr>
          <w:lang w:val="en-US"/>
        </w:rPr>
      </w:pPr>
      <w:r w:rsidRPr="00E95818">
        <w:rPr>
          <w:lang w:val="en-US"/>
        </w:rPr>
        <w:lastRenderedPageBreak/>
        <w:tab/>
        <w:t xml:space="preserve">One of the challenges for the Al-in-olivine thermometer is accurately quantifying the Al concentration in the olivine due to the 1) low concentrations; and 2) spatial heterogeneity. </w:t>
      </w:r>
      <w:proofErr w:type="gramStart"/>
      <w:r w:rsidRPr="00E95818">
        <w:rPr>
          <w:lang w:val="en-US"/>
        </w:rPr>
        <w:t>In order to</w:t>
      </w:r>
      <w:proofErr w:type="gramEnd"/>
      <w:r w:rsidRPr="00E95818">
        <w:rPr>
          <w:lang w:val="en-US"/>
        </w:rPr>
        <w:t xml:space="preserve"> address the low concentrations, beam current and/or count times must be increased to facilitate greater X-ray generation from the sample and/or better counting statistics </w:t>
      </w:r>
      <w:r w:rsidR="00200EBF">
        <w:rPr>
          <w:lang w:val="en-US"/>
        </w:rPr>
        <w:t>[</w:t>
      </w:r>
      <w:r w:rsidRPr="00E95818">
        <w:rPr>
          <w:lang w:val="en-US"/>
        </w:rPr>
        <w:t>Sobolev et al. 2007</w:t>
      </w:r>
      <w:r w:rsidR="00200EBF">
        <w:rPr>
          <w:lang w:val="en-US"/>
        </w:rPr>
        <w:t>]</w:t>
      </w:r>
      <w:r w:rsidRPr="00E95818">
        <w:rPr>
          <w:lang w:val="en-US"/>
        </w:rPr>
        <w:t xml:space="preserve">. Al concentrations in natural olivine can be heterogeneous and the geothermometer is particularly sensitive to small variations </w:t>
      </w:r>
      <w:r w:rsidR="00200EBF">
        <w:rPr>
          <w:lang w:val="en-US"/>
        </w:rPr>
        <w:t>[</w:t>
      </w:r>
      <w:r w:rsidRPr="00E95818">
        <w:rPr>
          <w:lang w:val="en-US"/>
        </w:rPr>
        <w:t>Matthews et al. 2016</w:t>
      </w:r>
      <w:r w:rsidR="00200EBF">
        <w:rPr>
          <w:lang w:val="en-US"/>
        </w:rPr>
        <w:t>;</w:t>
      </w:r>
      <w:r w:rsidRPr="00E95818">
        <w:rPr>
          <w:lang w:val="en-US"/>
        </w:rPr>
        <w:t xml:space="preserve"> 2021</w:t>
      </w:r>
      <w:r w:rsidR="00200EBF">
        <w:rPr>
          <w:lang w:val="en-US"/>
        </w:rPr>
        <w:t>]</w:t>
      </w:r>
      <w:r w:rsidRPr="00E95818">
        <w:rPr>
          <w:lang w:val="en-US"/>
        </w:rPr>
        <w:t xml:space="preserve">. Mineral and melt inclusions can also affect the Al distributions in a host mineral. Two recent papers which employ the Al-in-olivine geothermometer on Icelandic tholeiitic basalts approached the analysis procedure quite differently. Spice et al. </w:t>
      </w:r>
      <w:r w:rsidR="00200EBF">
        <w:rPr>
          <w:lang w:val="en-US"/>
        </w:rPr>
        <w:t>[</w:t>
      </w:r>
      <w:r w:rsidRPr="00E95818">
        <w:rPr>
          <w:lang w:val="en-US"/>
        </w:rPr>
        <w:t>2016</w:t>
      </w:r>
      <w:r w:rsidR="00200EBF">
        <w:rPr>
          <w:lang w:val="en-US"/>
        </w:rPr>
        <w:t>]</w:t>
      </w:r>
      <w:r w:rsidRPr="00E95818">
        <w:rPr>
          <w:lang w:val="en-US"/>
        </w:rPr>
        <w:t xml:space="preserve"> used point analyses at least 100 µm away from the spinel to avoid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diffusion from the spinel. Matthews et al. </w:t>
      </w:r>
      <w:r w:rsidR="00200EBF">
        <w:rPr>
          <w:lang w:val="en-US"/>
        </w:rPr>
        <w:t>[</w:t>
      </w:r>
      <w:r w:rsidRPr="00E95818">
        <w:rPr>
          <w:lang w:val="en-US"/>
        </w:rPr>
        <w:t>2016</w:t>
      </w:r>
      <w:r w:rsidR="00200EBF">
        <w:rPr>
          <w:lang w:val="en-US"/>
        </w:rPr>
        <w:t>]</w:t>
      </w:r>
      <w:r w:rsidRPr="00E95818">
        <w:rPr>
          <w:lang w:val="en-US"/>
        </w:rPr>
        <w:t xml:space="preserve"> used line scans and selected an average based on a plateau of points in proximity to the spinel to quantify the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in olivine that is most likely in equilibrium with the spinel. Despite the different analytical approaches, there is agreement in the overall thermometry results between the two studies </w:t>
      </w:r>
      <w:r w:rsidR="00200EBF">
        <w:rPr>
          <w:lang w:val="en-US"/>
        </w:rPr>
        <w:t>[</w:t>
      </w:r>
      <w:r w:rsidRPr="00E95818">
        <w:rPr>
          <w:lang w:val="en-US"/>
        </w:rPr>
        <w:t>Matthews et al. 2016</w:t>
      </w:r>
      <w:r w:rsidR="00200EBF">
        <w:rPr>
          <w:lang w:val="en-US"/>
        </w:rPr>
        <w:t>]</w:t>
      </w:r>
      <w:r w:rsidRPr="00E95818">
        <w:rPr>
          <w:lang w:val="en-US"/>
        </w:rPr>
        <w:t xml:space="preserve">. For this paper we opted for the point analysis approach. Additional considerations for opting for point analyses over line scans included an overall shorter analytical time (thus allowing analysis of more olivine-spinel pairs). Most importantly, the olivine and spinel analyses could be run serially with the respective standards to ensure better accuracy and reproducibility. </w:t>
      </w:r>
      <w:proofErr w:type="gramStart"/>
      <w:r w:rsidRPr="00E95818">
        <w:rPr>
          <w:lang w:val="en-US"/>
        </w:rPr>
        <w:t>In order to</w:t>
      </w:r>
      <w:proofErr w:type="gramEnd"/>
      <w:r w:rsidRPr="00E95818">
        <w:rPr>
          <w:lang w:val="en-US"/>
        </w:rPr>
        <w:t xml:space="preserve"> account for compositional heterogeneity, each mineral (olivine and spinel) core was analyzed with three random points. Backscatter imaging was used to ensure the point selection avoided observable zoning. Each analytical olivine-spinel pair was evaluated for good totals (100 ± 3 %) and accurate stoichiometry. Note, after completion of this project, Matthews et al. </w:t>
      </w:r>
      <w:r w:rsidR="00200EBF">
        <w:rPr>
          <w:lang w:val="en-US"/>
        </w:rPr>
        <w:t>[</w:t>
      </w:r>
      <w:r w:rsidRPr="00E95818">
        <w:rPr>
          <w:lang w:val="en-US"/>
        </w:rPr>
        <w:t>2021</w:t>
      </w:r>
      <w:r w:rsidR="00200EBF">
        <w:rPr>
          <w:lang w:val="en-US"/>
        </w:rPr>
        <w:t>]</w:t>
      </w:r>
      <w:r w:rsidRPr="00E95818">
        <w:rPr>
          <w:lang w:val="en-US"/>
        </w:rPr>
        <w:t xml:space="preserve"> observed that Al variability in olivine did not correlate with Mg-Fe zoning visible in backscatter imaging. Matthews et al. </w:t>
      </w:r>
      <w:r w:rsidR="00200EBF">
        <w:rPr>
          <w:lang w:val="en-US"/>
        </w:rPr>
        <w:t>[</w:t>
      </w:r>
      <w:r w:rsidRPr="00E95818">
        <w:rPr>
          <w:lang w:val="en-US"/>
        </w:rPr>
        <w:t>2021</w:t>
      </w:r>
      <w:r w:rsidR="00200EBF">
        <w:rPr>
          <w:lang w:val="en-US"/>
        </w:rPr>
        <w:t>]</w:t>
      </w:r>
      <w:r w:rsidRPr="00E95818">
        <w:rPr>
          <w:lang w:val="en-US"/>
        </w:rPr>
        <w:t xml:space="preserve"> recommend making Al content maps of olivine crystals to avoid anomalous Al concentrations. </w:t>
      </w:r>
    </w:p>
    <w:p w14:paraId="79109122" w14:textId="245BE5DB" w:rsidR="007A3C1A" w:rsidRPr="00E95818" w:rsidRDefault="00E95818" w:rsidP="00BB072E">
      <w:pPr>
        <w:jc w:val="left"/>
        <w:rPr>
          <w:lang w:val="en-US"/>
        </w:rPr>
      </w:pPr>
      <w:r w:rsidRPr="00E95818">
        <w:rPr>
          <w:lang w:val="en-US"/>
        </w:rPr>
        <w:t xml:space="preserve">The Al-in-olivine thermometer of Wan et al. </w:t>
      </w:r>
      <w:r w:rsidR="00200EBF">
        <w:rPr>
          <w:lang w:val="en-US"/>
        </w:rPr>
        <w:t>[</w:t>
      </w:r>
      <w:r w:rsidRPr="00E95818">
        <w:rPr>
          <w:lang w:val="en-US"/>
        </w:rPr>
        <w:t>2008</w:t>
      </w:r>
      <w:r w:rsidR="00200EBF">
        <w:rPr>
          <w:lang w:val="en-US"/>
        </w:rPr>
        <w:t>]</w:t>
      </w:r>
      <w:r w:rsidRPr="00E95818">
        <w:rPr>
          <w:lang w:val="en-US"/>
        </w:rPr>
        <w:t xml:space="preserve">, subsequently updated by Coogan et al. </w:t>
      </w:r>
      <w:r w:rsidR="00200EBF">
        <w:rPr>
          <w:lang w:val="en-US"/>
        </w:rPr>
        <w:t>[</w:t>
      </w:r>
      <w:r w:rsidRPr="00E95818">
        <w:rPr>
          <w:lang w:val="en-US"/>
        </w:rPr>
        <w:t>2014</w:t>
      </w:r>
      <w:r w:rsidR="00200EBF">
        <w:rPr>
          <w:lang w:val="en-US"/>
        </w:rPr>
        <w:t>]</w:t>
      </w:r>
      <w:r w:rsidRPr="00E95818">
        <w:rPr>
          <w:lang w:val="en-US"/>
        </w:rPr>
        <w:t xml:space="preserve">, is applicable only for </w:t>
      </w:r>
      <w:proofErr w:type="spellStart"/>
      <w:r w:rsidRPr="00E95818">
        <w:rPr>
          <w:lang w:val="en-US"/>
        </w:rPr>
        <w:t>spinels</w:t>
      </w:r>
      <w:proofErr w:type="spellEnd"/>
      <w:r w:rsidRPr="00E95818">
        <w:rPr>
          <w:lang w:val="en-US"/>
        </w:rPr>
        <w:t xml:space="preserve"> that match the range of compositional parameters of those used in the calibration experiments which is Cr # of 0–0.69, Fe</w:t>
      </w:r>
      <w:r w:rsidRPr="00E95818">
        <w:rPr>
          <w:vertAlign w:val="superscript"/>
          <w:lang w:val="en-US"/>
        </w:rPr>
        <w:t>3+</w:t>
      </w:r>
      <w:r w:rsidRPr="00E95818">
        <w:rPr>
          <w:lang w:val="en-US"/>
        </w:rPr>
        <w:t xml:space="preserve"> atoms per 4 O atoms of 0–0.11, and &lt;0.025 Ti atoms per 4 O atoms. These values were used to screen the </w:t>
      </w:r>
      <w:proofErr w:type="spellStart"/>
      <w:r w:rsidRPr="00E95818">
        <w:rPr>
          <w:lang w:val="en-US"/>
        </w:rPr>
        <w:t>Snaefellsnes</w:t>
      </w:r>
      <w:proofErr w:type="spellEnd"/>
      <w:r w:rsidRPr="00E95818">
        <w:rPr>
          <w:lang w:val="en-US"/>
        </w:rPr>
        <w:t xml:space="preserve"> spinel data used for application of the Al-in-olivine geothermometer. Most of the </w:t>
      </w:r>
      <w:proofErr w:type="spellStart"/>
      <w:r w:rsidRPr="00E95818">
        <w:rPr>
          <w:lang w:val="en-US"/>
        </w:rPr>
        <w:t>spinels</w:t>
      </w:r>
      <w:proofErr w:type="spellEnd"/>
      <w:r w:rsidRPr="00E95818">
        <w:rPr>
          <w:lang w:val="en-US"/>
        </w:rPr>
        <w:t xml:space="preserve"> analyzed fall within these calibration parameters. In total only ~15 % of the </w:t>
      </w:r>
      <w:proofErr w:type="spellStart"/>
      <w:r w:rsidRPr="00E95818">
        <w:rPr>
          <w:lang w:val="en-US"/>
        </w:rPr>
        <w:t>spinels</w:t>
      </w:r>
      <w:proofErr w:type="spellEnd"/>
      <w:r w:rsidRPr="00E95818">
        <w:rPr>
          <w:lang w:val="en-US"/>
        </w:rPr>
        <w:t xml:space="preserve"> had &gt;0.11 Fe</w:t>
      </w:r>
      <w:r w:rsidRPr="00E95818">
        <w:rPr>
          <w:vertAlign w:val="superscript"/>
          <w:lang w:val="en-US"/>
        </w:rPr>
        <w:t>3+</w:t>
      </w:r>
      <w:r w:rsidRPr="00E95818">
        <w:rPr>
          <w:lang w:val="en-US"/>
        </w:rPr>
        <w:t xml:space="preserve"> and &gt;0.025 Ti atoms per 4 O atoms. Although there is a correlation between high Fe</w:t>
      </w:r>
      <w:r w:rsidRPr="00E95818">
        <w:rPr>
          <w:vertAlign w:val="superscript"/>
          <w:lang w:val="en-US"/>
        </w:rPr>
        <w:t>3+</w:t>
      </w:r>
      <w:r w:rsidRPr="00E95818">
        <w:rPr>
          <w:lang w:val="en-US"/>
        </w:rPr>
        <w:t xml:space="preserve"> and Ti atoms per 4 O in the </w:t>
      </w:r>
      <w:proofErr w:type="spellStart"/>
      <w:r w:rsidRPr="00E95818">
        <w:rPr>
          <w:lang w:val="en-US"/>
        </w:rPr>
        <w:t>olivines</w:t>
      </w:r>
      <w:proofErr w:type="spellEnd"/>
      <w:r w:rsidRPr="00E95818">
        <w:rPr>
          <w:lang w:val="en-US"/>
        </w:rPr>
        <w:t xml:space="preserve">, it is not a perfect correlation. </w:t>
      </w:r>
      <w:r w:rsidR="007A3C1A" w:rsidRPr="00E95818">
        <w:rPr>
          <w:lang w:val="en-US"/>
        </w:rPr>
        <w:t xml:space="preserve">Two of the sampled flows had </w:t>
      </w:r>
      <w:proofErr w:type="spellStart"/>
      <w:r w:rsidR="007A3C1A" w:rsidRPr="00E95818">
        <w:rPr>
          <w:lang w:val="en-US"/>
        </w:rPr>
        <w:t>spinels</w:t>
      </w:r>
      <w:proofErr w:type="spellEnd"/>
      <w:r w:rsidR="007A3C1A" w:rsidRPr="00E95818">
        <w:rPr>
          <w:lang w:val="en-US"/>
        </w:rPr>
        <w:t xml:space="preserve"> that were just outside the calibration parameters. </w:t>
      </w:r>
      <w:proofErr w:type="spellStart"/>
      <w:r w:rsidR="007A3C1A" w:rsidRPr="00E95818">
        <w:rPr>
          <w:lang w:val="en-US"/>
        </w:rPr>
        <w:t>Prestahraun</w:t>
      </w:r>
      <w:proofErr w:type="spellEnd"/>
      <w:r w:rsidR="007A3C1A" w:rsidRPr="00E95818">
        <w:rPr>
          <w:lang w:val="en-US"/>
        </w:rPr>
        <w:t xml:space="preserve"> (</w:t>
      </w:r>
      <w:proofErr w:type="spellStart"/>
      <w:r w:rsidR="007A3C1A" w:rsidRPr="00E95818">
        <w:rPr>
          <w:lang w:val="en-US"/>
        </w:rPr>
        <w:t>Snæfellsjökull</w:t>
      </w:r>
      <w:proofErr w:type="spellEnd"/>
      <w:r w:rsidR="007A3C1A" w:rsidRPr="00E95818">
        <w:rPr>
          <w:lang w:val="en-US"/>
        </w:rPr>
        <w:t xml:space="preserve">) and </w:t>
      </w:r>
      <w:proofErr w:type="spellStart"/>
      <w:r w:rsidR="007A3C1A" w:rsidRPr="00E95818">
        <w:rPr>
          <w:lang w:val="en-US"/>
        </w:rPr>
        <w:t>Vatnafell</w:t>
      </w:r>
      <w:proofErr w:type="spellEnd"/>
      <w:r w:rsidR="007A3C1A" w:rsidRPr="00E95818">
        <w:rPr>
          <w:lang w:val="en-US"/>
        </w:rPr>
        <w:t xml:space="preserve"> had average Ti atoms per 4 O of 0.028 and 0.032</w:t>
      </w:r>
      <w:r w:rsidR="007A3C1A">
        <w:rPr>
          <w:lang w:val="en-US"/>
        </w:rPr>
        <w:t>,</w:t>
      </w:r>
      <w:r w:rsidR="007A3C1A" w:rsidRPr="00E95818">
        <w:rPr>
          <w:lang w:val="en-US"/>
        </w:rPr>
        <w:t xml:space="preserve"> respectively. The average calculated temperatures for the </w:t>
      </w:r>
      <w:proofErr w:type="spellStart"/>
      <w:r w:rsidR="007A3C1A" w:rsidRPr="00E95818">
        <w:rPr>
          <w:lang w:val="en-US"/>
        </w:rPr>
        <w:t>Prestahraun</w:t>
      </w:r>
      <w:proofErr w:type="spellEnd"/>
      <w:r w:rsidR="007A3C1A" w:rsidRPr="00E95818">
        <w:rPr>
          <w:lang w:val="en-US"/>
        </w:rPr>
        <w:t xml:space="preserve"> olivine are within error of the other </w:t>
      </w:r>
      <w:proofErr w:type="spellStart"/>
      <w:r w:rsidR="007A3C1A" w:rsidRPr="00E95818">
        <w:rPr>
          <w:lang w:val="en-US"/>
        </w:rPr>
        <w:t>Snæfellsjökull</w:t>
      </w:r>
      <w:proofErr w:type="spellEnd"/>
      <w:r w:rsidR="007A3C1A" w:rsidRPr="00E95818">
        <w:rPr>
          <w:lang w:val="en-US"/>
        </w:rPr>
        <w:t xml:space="preserve"> samples (</w:t>
      </w:r>
      <w:proofErr w:type="spellStart"/>
      <w:r w:rsidR="007A3C1A" w:rsidRPr="00E95818">
        <w:rPr>
          <w:lang w:val="en-US"/>
        </w:rPr>
        <w:t>Sandhraun</w:t>
      </w:r>
      <w:proofErr w:type="spellEnd"/>
      <w:r w:rsidR="007A3C1A" w:rsidRPr="00E95818">
        <w:rPr>
          <w:lang w:val="en-US"/>
        </w:rPr>
        <w:t xml:space="preserve"> and </w:t>
      </w:r>
      <w:proofErr w:type="spellStart"/>
      <w:r w:rsidR="007A3C1A" w:rsidRPr="00E95818">
        <w:rPr>
          <w:lang w:val="en-US"/>
        </w:rPr>
        <w:t>Búðahraun</w:t>
      </w:r>
      <w:proofErr w:type="spellEnd"/>
      <w:r w:rsidR="007A3C1A" w:rsidRPr="00E95818">
        <w:rPr>
          <w:lang w:val="en-US"/>
        </w:rPr>
        <w:t xml:space="preserve">), 1193 °C versus 1192 °C. The average temperature for the </w:t>
      </w:r>
      <w:proofErr w:type="spellStart"/>
      <w:r w:rsidR="007A3C1A" w:rsidRPr="00E95818">
        <w:rPr>
          <w:lang w:val="en-US"/>
        </w:rPr>
        <w:lastRenderedPageBreak/>
        <w:t>Vatnafell</w:t>
      </w:r>
      <w:proofErr w:type="spellEnd"/>
      <w:r w:rsidR="007A3C1A" w:rsidRPr="00E95818">
        <w:rPr>
          <w:lang w:val="en-US"/>
        </w:rPr>
        <w:t xml:space="preserve"> samples is 1217 °C, within error of crystallization temperatures (1212 °C) estimated using an olivine–clinopyroxene Fe-Mg exchange thermometer </w:t>
      </w:r>
      <w:r w:rsidR="007A3C1A">
        <w:rPr>
          <w:lang w:val="en-US"/>
        </w:rPr>
        <w:t>[</w:t>
      </w:r>
      <w:r w:rsidR="007A3C1A" w:rsidRPr="00E95818">
        <w:rPr>
          <w:lang w:val="en-US"/>
        </w:rPr>
        <w:t xml:space="preserve">Burney et al. 2020; </w:t>
      </w:r>
      <w:commentRangeStart w:id="0"/>
      <w:commentRangeStart w:id="1"/>
      <w:r w:rsidR="007A3C1A" w:rsidRPr="00E95818">
        <w:rPr>
          <w:lang w:val="en-US"/>
        </w:rPr>
        <w:t>Loucks 1996</w:t>
      </w:r>
      <w:commentRangeEnd w:id="0"/>
      <w:r w:rsidR="007A3C1A">
        <w:rPr>
          <w:rStyle w:val="CommentReference"/>
          <w:sz w:val="22"/>
          <w:szCs w:val="24"/>
          <w:lang w:val="en-US"/>
        </w:rPr>
        <w:commentReference w:id="0"/>
      </w:r>
      <w:commentRangeEnd w:id="1"/>
      <w:r w:rsidR="006A18D7">
        <w:rPr>
          <w:rStyle w:val="CommentReference"/>
          <w:sz w:val="22"/>
          <w:szCs w:val="24"/>
          <w:lang w:val="en-US"/>
        </w:rPr>
        <w:commentReference w:id="1"/>
      </w:r>
      <w:r w:rsidR="007A3C1A">
        <w:rPr>
          <w:lang w:val="en-US"/>
        </w:rPr>
        <w:t>]</w:t>
      </w:r>
      <w:r w:rsidR="007A3C1A" w:rsidRPr="00E95818">
        <w:rPr>
          <w:lang w:val="en-US"/>
        </w:rPr>
        <w:t xml:space="preserve">. Given the spatial proximity and temperature agreement with another geothermometer, the analytical details for these two samples have been included in the summary list in italics </w:t>
      </w:r>
      <w:r w:rsidR="007A3C1A">
        <w:rPr>
          <w:lang w:val="en-US"/>
        </w:rPr>
        <w:t>in Supplementary Material 2 (page 3)</w:t>
      </w:r>
      <w:r w:rsidR="007A3C1A" w:rsidRPr="00E95818">
        <w:rPr>
          <w:lang w:val="en-US"/>
        </w:rPr>
        <w:t>.</w:t>
      </w:r>
    </w:p>
    <w:p w14:paraId="5B999AF5" w14:textId="5D4D1CE2" w:rsidR="00E95818" w:rsidRPr="00E95818" w:rsidRDefault="00E95818" w:rsidP="00BB072E">
      <w:pPr>
        <w:jc w:val="left"/>
        <w:rPr>
          <w:lang w:val="en-US"/>
        </w:rPr>
      </w:pPr>
      <w:r w:rsidRPr="00E95818">
        <w:rPr>
          <w:lang w:val="en-US"/>
        </w:rPr>
        <w:t xml:space="preserve">Coogan et al. </w:t>
      </w:r>
      <w:r w:rsidR="00200EBF">
        <w:rPr>
          <w:lang w:val="en-US"/>
        </w:rPr>
        <w:t>[</w:t>
      </w:r>
      <w:r w:rsidRPr="00E95818">
        <w:rPr>
          <w:lang w:val="en-US"/>
        </w:rPr>
        <w:t>2014</w:t>
      </w:r>
      <w:r w:rsidR="00200EBF">
        <w:rPr>
          <w:lang w:val="en-US"/>
        </w:rPr>
        <w:t>]</w:t>
      </w:r>
      <w:r w:rsidRPr="00E95818">
        <w:rPr>
          <w:lang w:val="en-US"/>
        </w:rPr>
        <w:t xml:space="preserve"> found a positive linear correlation between phosphorus and Al concentrations in the experimental results. Although the mechanism for Al incorporation into olivine is not yet clear, the presence of P might facilitate an increase in the Al content in </w:t>
      </w:r>
      <w:proofErr w:type="spellStart"/>
      <w:r w:rsidRPr="00E95818">
        <w:rPr>
          <w:lang w:val="en-US"/>
        </w:rPr>
        <w:t>olivines</w:t>
      </w:r>
      <w:proofErr w:type="spellEnd"/>
      <w:r w:rsidRPr="00E95818">
        <w:rPr>
          <w:lang w:val="en-US"/>
        </w:rPr>
        <w:t>, potentially through a coupled substitution (P</w:t>
      </w:r>
      <w:r w:rsidRPr="00E95818">
        <w:rPr>
          <w:vertAlign w:val="superscript"/>
          <w:lang w:val="en-US"/>
        </w:rPr>
        <w:t>5+</w:t>
      </w:r>
      <w:r w:rsidRPr="00E95818">
        <w:rPr>
          <w:lang w:val="en-US"/>
        </w:rPr>
        <w:t xml:space="preserve"> + Al</w:t>
      </w:r>
      <w:r w:rsidRPr="00E95818">
        <w:rPr>
          <w:vertAlign w:val="superscript"/>
          <w:lang w:val="en-US"/>
        </w:rPr>
        <w:t>3+</w:t>
      </w:r>
      <w:r w:rsidRPr="00E95818">
        <w:rPr>
          <w:lang w:val="en-US"/>
        </w:rPr>
        <w:t xml:space="preserve"> = 2 Si</w:t>
      </w:r>
      <w:r w:rsidRPr="00E95818">
        <w:rPr>
          <w:vertAlign w:val="superscript"/>
          <w:lang w:val="en-US"/>
        </w:rPr>
        <w:t>4+</w:t>
      </w:r>
      <w:r w:rsidRPr="00E95818">
        <w:rPr>
          <w:lang w:val="en-US"/>
        </w:rPr>
        <w:t xml:space="preserve">) and thus give rise to apparently elevated temperatures </w:t>
      </w:r>
      <w:r w:rsidR="00200EBF">
        <w:rPr>
          <w:lang w:val="en-US"/>
        </w:rPr>
        <w:t>[</w:t>
      </w:r>
      <w:r w:rsidRPr="00E95818">
        <w:rPr>
          <w:lang w:val="en-US"/>
        </w:rPr>
        <w:t>Coogan et al. 2014</w:t>
      </w:r>
      <w:r w:rsidR="00200EBF">
        <w:rPr>
          <w:lang w:val="en-US"/>
        </w:rPr>
        <w:t>]</w:t>
      </w:r>
      <w:r w:rsidRPr="00E95818">
        <w:rPr>
          <w:lang w:val="en-US"/>
        </w:rPr>
        <w:t xml:space="preserve">. This necessitates a correction to Al values when high P is present to estimate the P-free Al content </w:t>
      </w:r>
      <w:r w:rsidR="00200EBF">
        <w:rPr>
          <w:lang w:val="en-US"/>
        </w:rPr>
        <w:t>[</w:t>
      </w:r>
      <w:r w:rsidRPr="00E95818">
        <w:rPr>
          <w:lang w:val="en-US"/>
        </w:rPr>
        <w:t>Coogan et al. 2014</w:t>
      </w:r>
      <w:r w:rsidR="00200EBF">
        <w:rPr>
          <w:lang w:val="en-US"/>
        </w:rPr>
        <w:t>]</w:t>
      </w:r>
      <w:r w:rsidRPr="00E95818">
        <w:rPr>
          <w:lang w:val="en-US"/>
        </w:rPr>
        <w:t xml:space="preserve">. For this study 90 % of all olivine </w:t>
      </w:r>
      <w:proofErr w:type="spellStart"/>
      <w:r w:rsidRPr="00E95818">
        <w:rPr>
          <w:lang w:val="en-US"/>
        </w:rPr>
        <w:t>macrocrysts</w:t>
      </w:r>
      <w:proofErr w:type="spellEnd"/>
      <w:r w:rsidRPr="00E95818">
        <w:rPr>
          <w:lang w:val="en-US"/>
        </w:rPr>
        <w:t xml:space="preserve"> have extremely low P &lt; 50 ppm and show no correlation with Al concentrations. The highest P value for all the olivine </w:t>
      </w:r>
      <w:proofErr w:type="spellStart"/>
      <w:r w:rsidRPr="00E95818">
        <w:rPr>
          <w:lang w:val="en-US"/>
        </w:rPr>
        <w:t>macrocrysts</w:t>
      </w:r>
      <w:proofErr w:type="spellEnd"/>
      <w:r w:rsidRPr="00E95818">
        <w:rPr>
          <w:lang w:val="en-US"/>
        </w:rPr>
        <w:t xml:space="preserve"> analyzed is only 116 ppm (0.027 </w:t>
      </w:r>
      <w:proofErr w:type="spellStart"/>
      <w:r w:rsidRPr="00E95818">
        <w:rPr>
          <w:lang w:val="en-US"/>
        </w:rPr>
        <w:t>wt</w:t>
      </w:r>
      <w:proofErr w:type="spellEnd"/>
      <w:r w:rsidRPr="00E95818">
        <w:rPr>
          <w:lang w:val="en-US"/>
        </w:rPr>
        <w:t>% P</w:t>
      </w:r>
      <w:r w:rsidRPr="00E95818">
        <w:rPr>
          <w:vertAlign w:val="subscript"/>
          <w:lang w:val="en-US"/>
        </w:rPr>
        <w:t>2</w:t>
      </w:r>
      <w:r w:rsidRPr="00E95818">
        <w:rPr>
          <w:lang w:val="en-US"/>
        </w:rPr>
        <w:t>O</w:t>
      </w:r>
      <w:r w:rsidRPr="00E95818">
        <w:rPr>
          <w:vertAlign w:val="subscript"/>
          <w:lang w:val="en-US"/>
        </w:rPr>
        <w:t>5</w:t>
      </w:r>
      <w:r w:rsidRPr="00E95818">
        <w:rPr>
          <w:lang w:val="en-US"/>
        </w:rPr>
        <w:t>). In total 4 samples (</w:t>
      </w:r>
      <w:proofErr w:type="spellStart"/>
      <w:r w:rsidRPr="00E95818">
        <w:rPr>
          <w:lang w:val="en-US"/>
        </w:rPr>
        <w:t>Prestahraun</w:t>
      </w:r>
      <w:proofErr w:type="spellEnd"/>
      <w:r w:rsidRPr="00E95818">
        <w:rPr>
          <w:lang w:val="en-US"/>
        </w:rPr>
        <w:t xml:space="preserve">, </w:t>
      </w:r>
      <w:proofErr w:type="spellStart"/>
      <w:r w:rsidRPr="00E95818">
        <w:rPr>
          <w:lang w:val="en-US"/>
        </w:rPr>
        <w:t>Helgastadir</w:t>
      </w:r>
      <w:proofErr w:type="spellEnd"/>
      <w:r w:rsidRPr="00E95818">
        <w:rPr>
          <w:lang w:val="en-US"/>
        </w:rPr>
        <w:t xml:space="preserve">, </w:t>
      </w:r>
      <w:proofErr w:type="spellStart"/>
      <w:r w:rsidRPr="00E95818">
        <w:rPr>
          <w:lang w:val="en-US"/>
        </w:rPr>
        <w:t>Berserkjahraun</w:t>
      </w:r>
      <w:proofErr w:type="spellEnd"/>
      <w:r w:rsidRPr="00E95818">
        <w:rPr>
          <w:lang w:val="en-US"/>
        </w:rPr>
        <w:t xml:space="preserve"> B and D) had slight positive correlations between P and Al, however, regressing the Al values back to P = 0 resulted in crystallization temperatures within error of the original temperatures. Therefore, no correction to the Al concentration is warranted. </w:t>
      </w:r>
    </w:p>
    <w:p w14:paraId="129DA155" w14:textId="0BA57AA2" w:rsidR="00E95818" w:rsidRDefault="00E95818" w:rsidP="00BB072E">
      <w:pPr>
        <w:jc w:val="left"/>
        <w:rPr>
          <w:lang w:val="en-US"/>
        </w:rPr>
      </w:pPr>
      <w:r w:rsidRPr="00E95818">
        <w:rPr>
          <w:lang w:val="en-US"/>
        </w:rPr>
        <w:t xml:space="preserve">I used the updated calibration of the Al-in-olivine thermometer from Coogan et al. </w:t>
      </w:r>
      <w:r w:rsidR="00200EBF">
        <w:rPr>
          <w:lang w:val="en-US"/>
        </w:rPr>
        <w:t>[</w:t>
      </w:r>
      <w:r w:rsidRPr="00E95818">
        <w:rPr>
          <w:lang w:val="en-US"/>
        </w:rPr>
        <w:t>2014</w:t>
      </w:r>
      <w:r w:rsidR="00200EBF">
        <w:rPr>
          <w:lang w:val="en-US"/>
        </w:rPr>
        <w:t>]</w:t>
      </w:r>
      <w:r w:rsidRPr="00E95818">
        <w:rPr>
          <w:lang w:val="en-US"/>
        </w:rPr>
        <w:t>. The equation and variables are presented</w:t>
      </w:r>
      <w:r>
        <w:rPr>
          <w:lang w:val="en-US"/>
        </w:rPr>
        <w:t xml:space="preserve"> above</w:t>
      </w:r>
      <w:r w:rsidRPr="00E95818">
        <w:rPr>
          <w:lang w:val="en-US"/>
        </w:rPr>
        <w:t xml:space="preserve"> (Equation 1). </w:t>
      </w:r>
    </w:p>
    <w:p w14:paraId="512F0C68" w14:textId="6410D090" w:rsidR="00E95818" w:rsidRPr="00E95818" w:rsidRDefault="00E95818" w:rsidP="00BB072E">
      <w:pPr>
        <w:jc w:val="left"/>
        <w:rPr>
          <w:lang w:val="en-US"/>
        </w:rPr>
      </w:pPr>
      <w:r w:rsidRPr="00E95818">
        <w:rPr>
          <w:lang w:val="en-US"/>
        </w:rPr>
        <w:t>Initial data filtering for outliers was achieved by first calculating the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ratio between each olivine and spinel pair (i.e.,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olivine / Al</w:t>
      </w:r>
      <w:r w:rsidRPr="00E95818">
        <w:rPr>
          <w:vertAlign w:val="subscript"/>
          <w:lang w:val="en-US"/>
        </w:rPr>
        <w:t>2</w:t>
      </w:r>
      <w:r w:rsidRPr="00E95818">
        <w:rPr>
          <w:lang w:val="en-US"/>
        </w:rPr>
        <w:t>O</w:t>
      </w:r>
      <w:r w:rsidRPr="00E95818">
        <w:rPr>
          <w:vertAlign w:val="subscript"/>
          <w:lang w:val="en-US"/>
        </w:rPr>
        <w:t>3</w:t>
      </w:r>
      <w:r w:rsidRPr="00E95818">
        <w:rPr>
          <w:lang w:val="en-US"/>
        </w:rPr>
        <w:t xml:space="preserve"> spinel). The ratio for each pair was then used to calculate an average and standard deviation for each flow. A 95% confidence interval was calculated and any data point that fell outside of the confidence interval was excluded from the final dataset. The average and standard deviation for the remaining olivine and spinel pairs were run through a Monte Carlo simulation, </w:t>
      </w:r>
      <w:proofErr w:type="gramStart"/>
      <w:r w:rsidRPr="00E95818">
        <w:rPr>
          <w:lang w:val="en-US"/>
        </w:rPr>
        <w:t>similar to</w:t>
      </w:r>
      <w:proofErr w:type="gramEnd"/>
      <w:r w:rsidRPr="00E95818">
        <w:rPr>
          <w:lang w:val="en-US"/>
        </w:rPr>
        <w:t xml:space="preserve"> Matthews et al. </w:t>
      </w:r>
      <w:r w:rsidR="00200EBF">
        <w:rPr>
          <w:lang w:val="en-US"/>
        </w:rPr>
        <w:t>[</w:t>
      </w:r>
      <w:r w:rsidRPr="00E95818">
        <w:rPr>
          <w:lang w:val="en-US"/>
        </w:rPr>
        <w:t>2016</w:t>
      </w:r>
      <w:r w:rsidR="00200EBF">
        <w:rPr>
          <w:lang w:val="en-US"/>
        </w:rPr>
        <w:t>]</w:t>
      </w:r>
      <w:r w:rsidRPr="00E95818">
        <w:rPr>
          <w:lang w:val="en-US"/>
        </w:rPr>
        <w:t xml:space="preserve">, to allow propagation of analytical errors to the calculated temperature estimate. The mean and standard deviation were used to generate 10,000 random pairs of ‘new’ data following a Gaussian distribution with the same mean and standard deviation. These ‘new’ olivine and spinel data pairs were then used to calculate a final average temperature and error for each host-inclusion pair. Where the standard deviation of the original three analyses (olivine or spinel) was less than the reproducibility of the standard, the error on the standard was used. Coogan et al. </w:t>
      </w:r>
      <w:r w:rsidR="00200EBF">
        <w:rPr>
          <w:lang w:val="en-US"/>
        </w:rPr>
        <w:t>[</w:t>
      </w:r>
      <w:r w:rsidRPr="00E95818">
        <w:rPr>
          <w:lang w:val="en-US"/>
        </w:rPr>
        <w:t>2014</w:t>
      </w:r>
      <w:r w:rsidR="00200EBF">
        <w:rPr>
          <w:lang w:val="en-US"/>
        </w:rPr>
        <w:t>]</w:t>
      </w:r>
      <w:r w:rsidRPr="00E95818">
        <w:rPr>
          <w:lang w:val="en-US"/>
        </w:rPr>
        <w:t xml:space="preserve"> reported that the accuracy of the Al-in-olivine thermometer as ± 20</w:t>
      </w:r>
      <w:r w:rsidR="00200EBF">
        <w:rPr>
          <w:lang w:val="en-US"/>
        </w:rPr>
        <w:t>–</w:t>
      </w:r>
      <w:r w:rsidRPr="00E95818">
        <w:rPr>
          <w:lang w:val="en-US"/>
        </w:rPr>
        <w:t xml:space="preserve">22 °C, therefore, any of the calculated errors &lt; 20 °C have been set at 20 °C to reflect the inherent uncertainty in the thermometer. The final data tables used in the thermometry calculations can be found in </w:t>
      </w:r>
      <w:r w:rsidR="00200EBF">
        <w:rPr>
          <w:lang w:val="en-US"/>
        </w:rPr>
        <w:t>Supplementary Material 2 (page 3)</w:t>
      </w:r>
      <w:r w:rsidRPr="00E95818">
        <w:rPr>
          <w:lang w:val="en-US"/>
        </w:rPr>
        <w:t>.</w:t>
      </w:r>
    </w:p>
    <w:p w14:paraId="14FBC016" w14:textId="687C45C2" w:rsidR="00E95818" w:rsidRPr="00E95818" w:rsidRDefault="00E95818" w:rsidP="00BB072E">
      <w:pPr>
        <w:jc w:val="left"/>
        <w:rPr>
          <w:lang w:val="en-US"/>
        </w:rPr>
      </w:pPr>
      <w:r w:rsidRPr="00E95818">
        <w:rPr>
          <w:lang w:val="en-US"/>
        </w:rPr>
        <w:t xml:space="preserve">The </w:t>
      </w:r>
      <w:proofErr w:type="spellStart"/>
      <w:r w:rsidRPr="00E95818">
        <w:rPr>
          <w:lang w:val="en-US"/>
        </w:rPr>
        <w:t>Ljósufjöll</w:t>
      </w:r>
      <w:proofErr w:type="spellEnd"/>
      <w:r w:rsidRPr="00E95818">
        <w:rPr>
          <w:lang w:val="en-US"/>
        </w:rPr>
        <w:t xml:space="preserve"> system shows the highest temperatures (&gt;1310 °C) which are distributed between 3 flows: </w:t>
      </w:r>
      <w:proofErr w:type="spellStart"/>
      <w:r w:rsidRPr="00E95818">
        <w:rPr>
          <w:lang w:val="en-US"/>
        </w:rPr>
        <w:t>Rauðhálsahraun</w:t>
      </w:r>
      <w:proofErr w:type="spellEnd"/>
      <w:r w:rsidRPr="00E95818">
        <w:rPr>
          <w:lang w:val="en-US"/>
        </w:rPr>
        <w:t xml:space="preserve">, </w:t>
      </w:r>
      <w:proofErr w:type="spellStart"/>
      <w:r w:rsidRPr="00E95818">
        <w:rPr>
          <w:lang w:val="en-US"/>
        </w:rPr>
        <w:t>Staðarhraun</w:t>
      </w:r>
      <w:proofErr w:type="spellEnd"/>
      <w:r w:rsidRPr="00E95818">
        <w:rPr>
          <w:lang w:val="en-US"/>
        </w:rPr>
        <w:t xml:space="preserve">, and </w:t>
      </w:r>
      <w:proofErr w:type="spellStart"/>
      <w:r w:rsidRPr="00E95818">
        <w:rPr>
          <w:lang w:val="en-US"/>
        </w:rPr>
        <w:t>Helgastadir</w:t>
      </w:r>
      <w:proofErr w:type="spellEnd"/>
      <w:r w:rsidRPr="00E95818">
        <w:rPr>
          <w:lang w:val="en-US"/>
        </w:rPr>
        <w:t xml:space="preserve">, all three flows fall within 13 km of each other. Thus far, the </w:t>
      </w:r>
      <w:r w:rsidRPr="00E95818">
        <w:rPr>
          <w:lang w:val="en-US"/>
        </w:rPr>
        <w:lastRenderedPageBreak/>
        <w:t xml:space="preserve">highest observed maximum crystallization temperature for the NVZ/WVZ and </w:t>
      </w:r>
      <w:proofErr w:type="spellStart"/>
      <w:r w:rsidRPr="00E95818">
        <w:rPr>
          <w:lang w:val="en-US"/>
        </w:rPr>
        <w:t>Snaefellsnes</w:t>
      </w:r>
      <w:proofErr w:type="spellEnd"/>
      <w:r w:rsidRPr="00E95818">
        <w:rPr>
          <w:lang w:val="en-US"/>
        </w:rPr>
        <w:t xml:space="preserve"> are 1399 ± 20 °C </w:t>
      </w:r>
      <w:r w:rsidR="00200EBF">
        <w:rPr>
          <w:lang w:val="en-US"/>
        </w:rPr>
        <w:t>[</w:t>
      </w:r>
      <w:r w:rsidRPr="00E95818">
        <w:rPr>
          <w:lang w:val="en-US"/>
        </w:rPr>
        <w:t>Matthews et al. 2016</w:t>
      </w:r>
      <w:r w:rsidR="00200EBF">
        <w:rPr>
          <w:lang w:val="en-US"/>
        </w:rPr>
        <w:t>]</w:t>
      </w:r>
      <w:r w:rsidRPr="00E95818">
        <w:rPr>
          <w:lang w:val="en-US"/>
        </w:rPr>
        <w:t xml:space="preserve"> and 1351 ± 20 °C (this study). </w:t>
      </w:r>
    </w:p>
    <w:p w14:paraId="1904B85A" w14:textId="2FACDA6B" w:rsidR="00E95818" w:rsidRPr="00E95818" w:rsidRDefault="00E95818" w:rsidP="00BB072E">
      <w:pPr>
        <w:jc w:val="left"/>
        <w:rPr>
          <w:lang w:val="en-US"/>
        </w:rPr>
      </w:pPr>
      <w:r w:rsidRPr="00E95818">
        <w:rPr>
          <w:lang w:val="en-US"/>
        </w:rPr>
        <w:t xml:space="preserve">The covariation of crystallization temperature with </w:t>
      </w:r>
      <w:r w:rsidR="00200EBF">
        <w:rPr>
          <w:lang w:val="en-US"/>
        </w:rPr>
        <w:t>f</w:t>
      </w:r>
      <w:r w:rsidRPr="00E95818">
        <w:rPr>
          <w:lang w:val="en-US"/>
        </w:rPr>
        <w:t xml:space="preserve">orsterite content can be illustrated by modeling the forsterite content of olivine crystallizing from a cooling melt (using Petrolog3: </w:t>
      </w:r>
      <w:r w:rsidR="00200EBF">
        <w:rPr>
          <w:lang w:val="en-US"/>
        </w:rPr>
        <w:t>[</w:t>
      </w:r>
      <w:proofErr w:type="spellStart"/>
      <w:r w:rsidRPr="00E95818">
        <w:rPr>
          <w:lang w:val="en-US"/>
        </w:rPr>
        <w:t>Danyushevsky</w:t>
      </w:r>
      <w:proofErr w:type="spellEnd"/>
      <w:r w:rsidRPr="00E95818">
        <w:rPr>
          <w:lang w:val="en-US"/>
        </w:rPr>
        <w:t xml:space="preserve"> and </w:t>
      </w:r>
      <w:proofErr w:type="spellStart"/>
      <w:r w:rsidRPr="00E95818">
        <w:rPr>
          <w:lang w:val="en-US"/>
        </w:rPr>
        <w:t>Plechov</w:t>
      </w:r>
      <w:proofErr w:type="spellEnd"/>
      <w:r w:rsidRPr="00E95818">
        <w:rPr>
          <w:lang w:val="en-US"/>
        </w:rPr>
        <w:t xml:space="preserve"> 2011</w:t>
      </w:r>
      <w:r w:rsidR="00200EBF">
        <w:rPr>
          <w:lang w:val="en-US"/>
        </w:rPr>
        <w:t>]</w:t>
      </w:r>
      <w:r w:rsidRPr="00E95818">
        <w:rPr>
          <w:lang w:val="en-US"/>
        </w:rPr>
        <w:t xml:space="preserve">). Figure 5 shows the cooling trends for two melts </w:t>
      </w:r>
      <w:r w:rsidR="00200EBF">
        <w:rPr>
          <w:lang w:val="en-US"/>
        </w:rPr>
        <w:t>[</w:t>
      </w:r>
      <w:r w:rsidRPr="00E95818">
        <w:rPr>
          <w:lang w:val="en-US"/>
        </w:rPr>
        <w:t>after Matthews et al. 2016</w:t>
      </w:r>
      <w:r w:rsidR="00200EBF">
        <w:rPr>
          <w:lang w:val="en-US"/>
        </w:rPr>
        <w:t>]</w:t>
      </w:r>
      <w:r w:rsidRPr="00E95818">
        <w:rPr>
          <w:lang w:val="en-US"/>
        </w:rPr>
        <w:t xml:space="preserve">, the solid line represents the cooling trend of a melt sourced from a garnet peridotite (KR4003; </w:t>
      </w:r>
      <w:r w:rsidR="00200EBF">
        <w:rPr>
          <w:lang w:val="en-US"/>
        </w:rPr>
        <w:t>[</w:t>
      </w:r>
      <w:r w:rsidRPr="00E95818">
        <w:rPr>
          <w:lang w:val="en-US"/>
        </w:rPr>
        <w:t>Walter 1998</w:t>
      </w:r>
      <w:r w:rsidR="00200EBF">
        <w:rPr>
          <w:lang w:val="en-US"/>
        </w:rPr>
        <w:t>]</w:t>
      </w:r>
      <w:r w:rsidRPr="00E95818">
        <w:rPr>
          <w:lang w:val="en-US"/>
        </w:rPr>
        <w:t xml:space="preserve">), and the dotted line represents the cooling trend of a melt from an enriched peridotite (KG1; </w:t>
      </w:r>
      <w:r w:rsidR="00200EBF">
        <w:rPr>
          <w:lang w:val="en-US"/>
        </w:rPr>
        <w:t>[</w:t>
      </w:r>
      <w:proofErr w:type="spellStart"/>
      <w:r w:rsidRPr="00E95818">
        <w:rPr>
          <w:lang w:val="en-US"/>
        </w:rPr>
        <w:t>Kogiso</w:t>
      </w:r>
      <w:proofErr w:type="spellEnd"/>
      <w:r w:rsidRPr="00E95818">
        <w:rPr>
          <w:lang w:val="en-US"/>
        </w:rPr>
        <w:t xml:space="preserve"> et al. 1998</w:t>
      </w:r>
      <w:r w:rsidR="00200EBF">
        <w:rPr>
          <w:lang w:val="en-US"/>
        </w:rPr>
        <w:t>]</w:t>
      </w:r>
      <w:r w:rsidRPr="00E95818">
        <w:rPr>
          <w:lang w:val="en-US"/>
        </w:rPr>
        <w:t xml:space="preserve">). These experimental melt compositions have been inferred to be broadly representative of the depleted and enriched end-member components of the primary rift zones in Iceland (i.e., Northern and Western Volcanic Zones; </w:t>
      </w:r>
      <w:r w:rsidR="00200EBF">
        <w:rPr>
          <w:lang w:val="en-US"/>
        </w:rPr>
        <w:t>[</w:t>
      </w:r>
      <w:proofErr w:type="spellStart"/>
      <w:r w:rsidRPr="00E95818">
        <w:rPr>
          <w:lang w:val="en-US"/>
        </w:rPr>
        <w:t>Shorttle</w:t>
      </w:r>
      <w:proofErr w:type="spellEnd"/>
      <w:r w:rsidRPr="00E95818">
        <w:rPr>
          <w:lang w:val="en-US"/>
        </w:rPr>
        <w:t xml:space="preserve"> and </w:t>
      </w:r>
      <w:proofErr w:type="spellStart"/>
      <w:r w:rsidRPr="00E95818">
        <w:rPr>
          <w:lang w:val="en-US"/>
        </w:rPr>
        <w:t>Maclennan</w:t>
      </w:r>
      <w:proofErr w:type="spellEnd"/>
      <w:r w:rsidRPr="00E95818">
        <w:rPr>
          <w:lang w:val="en-US"/>
        </w:rPr>
        <w:t xml:space="preserve"> 2011</w:t>
      </w:r>
      <w:r w:rsidR="00200EBF">
        <w:rPr>
          <w:lang w:val="en-US"/>
        </w:rPr>
        <w:t>]</w:t>
      </w:r>
      <w:r w:rsidRPr="00E95818">
        <w:rPr>
          <w:lang w:val="en-US"/>
        </w:rPr>
        <w:t xml:space="preserve">). Both cooling trends assume olivine is the only crystallizing phase. The </w:t>
      </w:r>
      <w:proofErr w:type="spellStart"/>
      <w:r w:rsidRPr="00E95818">
        <w:rPr>
          <w:lang w:val="en-US"/>
        </w:rPr>
        <w:t>Snaefellsnes</w:t>
      </w:r>
      <w:proofErr w:type="spellEnd"/>
      <w:r w:rsidRPr="00E95818">
        <w:rPr>
          <w:lang w:val="en-US"/>
        </w:rPr>
        <w:t xml:space="preserve"> major element data generally follows the trend for initial olivine fractionation followed by crystallization of olivine + plagioclase + clinopyroxene </w:t>
      </w:r>
      <w:r w:rsidR="00200EBF">
        <w:rPr>
          <w:lang w:val="en-US"/>
        </w:rPr>
        <w:t>[</w:t>
      </w:r>
      <w:commentRangeStart w:id="2"/>
      <w:commentRangeStart w:id="3"/>
      <w:r w:rsidRPr="00E95818">
        <w:rPr>
          <w:lang w:val="en-US"/>
        </w:rPr>
        <w:t>Jennings et al. 2019</w:t>
      </w:r>
      <w:commentRangeEnd w:id="2"/>
      <w:r w:rsidR="0052014E">
        <w:rPr>
          <w:rStyle w:val="CommentReference"/>
          <w:sz w:val="22"/>
          <w:szCs w:val="24"/>
          <w:lang w:val="en-US"/>
        </w:rPr>
        <w:commentReference w:id="2"/>
      </w:r>
      <w:commentRangeEnd w:id="3"/>
      <w:r w:rsidR="006A18D7">
        <w:rPr>
          <w:rStyle w:val="CommentReference"/>
          <w:sz w:val="22"/>
          <w:szCs w:val="24"/>
          <w:lang w:val="en-US"/>
        </w:rPr>
        <w:commentReference w:id="3"/>
      </w:r>
      <w:r w:rsidR="00200EBF">
        <w:rPr>
          <w:lang w:val="en-US"/>
        </w:rPr>
        <w:t>]</w:t>
      </w:r>
      <w:r w:rsidRPr="00E95818">
        <w:rPr>
          <w:lang w:val="en-US"/>
        </w:rPr>
        <w:t xml:space="preserve">. This suggests that most of the variability in the temperature data can be explained by mineral fractionation during melt evolution </w:t>
      </w:r>
      <w:r w:rsidR="00200EBF">
        <w:rPr>
          <w:lang w:val="en-US"/>
        </w:rPr>
        <w:t>[</w:t>
      </w:r>
      <w:r w:rsidRPr="00E95818">
        <w:rPr>
          <w:lang w:val="en-US"/>
        </w:rPr>
        <w:t>Matthews et al. 2016</w:t>
      </w:r>
      <w:r w:rsidR="00200EBF">
        <w:rPr>
          <w:lang w:val="en-US"/>
        </w:rPr>
        <w:t>]</w:t>
      </w:r>
      <w:r w:rsidRPr="00E95818">
        <w:rPr>
          <w:lang w:val="en-US"/>
        </w:rPr>
        <w:t xml:space="preserve">. </w:t>
      </w:r>
    </w:p>
    <w:p w14:paraId="1F63CAF6" w14:textId="123C0638" w:rsidR="00E95818" w:rsidRPr="00E95818" w:rsidRDefault="00E95818" w:rsidP="00BB072E">
      <w:pPr>
        <w:jc w:val="left"/>
        <w:rPr>
          <w:lang w:val="en-US"/>
        </w:rPr>
      </w:pPr>
      <w:r w:rsidRPr="00E95818">
        <w:rPr>
          <w:lang w:val="en-US"/>
        </w:rPr>
        <w:tab/>
        <w:t xml:space="preserve">Whole rock data for the samples in this paper were used in Figure 2 and are included </w:t>
      </w:r>
      <w:r w:rsidR="00FC1831">
        <w:rPr>
          <w:lang w:val="en-US"/>
        </w:rPr>
        <w:t>in</w:t>
      </w:r>
      <w:r w:rsidRPr="00E95818">
        <w:rPr>
          <w:lang w:val="en-US"/>
        </w:rPr>
        <w:t xml:space="preserve"> </w:t>
      </w:r>
      <w:r w:rsidR="00FC1831">
        <w:rPr>
          <w:lang w:val="en-US"/>
        </w:rPr>
        <w:t>Supplementary Material 2 (page 4)</w:t>
      </w:r>
      <w:r w:rsidRPr="00E95818">
        <w:rPr>
          <w:lang w:val="en-US"/>
        </w:rPr>
        <w:t xml:space="preserve">. These values were determined via ICP-MS at the University of Iowa and XRF at Brigham Young University. Full analytical methods including standard data are included </w:t>
      </w:r>
      <w:r w:rsidR="007A3C1A">
        <w:rPr>
          <w:lang w:val="en-US"/>
        </w:rPr>
        <w:t xml:space="preserve">in </w:t>
      </w:r>
      <w:proofErr w:type="spellStart"/>
      <w:r w:rsidR="007A3C1A">
        <w:rPr>
          <w:lang w:val="en-US"/>
        </w:rPr>
        <w:t>Siebach</w:t>
      </w:r>
      <w:proofErr w:type="spellEnd"/>
      <w:r w:rsidR="007A3C1A">
        <w:rPr>
          <w:lang w:val="en-US"/>
        </w:rPr>
        <w:t xml:space="preserve"> [2023].</w:t>
      </w:r>
    </w:p>
    <w:p w14:paraId="1D86C7E4" w14:textId="77777777" w:rsidR="00E95818" w:rsidRPr="0088520B" w:rsidRDefault="00E95818" w:rsidP="00BB072E">
      <w:pPr>
        <w:jc w:val="left"/>
      </w:pPr>
    </w:p>
    <w:p w14:paraId="4C654994" w14:textId="77777777" w:rsidR="00BB072E" w:rsidRDefault="00BB072E" w:rsidP="00BB072E">
      <w:pPr>
        <w:jc w:val="left"/>
      </w:pPr>
    </w:p>
    <w:p w14:paraId="5E765CBC" w14:textId="77777777" w:rsidR="00BB072E" w:rsidRDefault="00BB072E" w:rsidP="00BB072E">
      <w:pPr>
        <w:jc w:val="left"/>
      </w:pPr>
    </w:p>
    <w:p w14:paraId="5BA0E992" w14:textId="77777777" w:rsidR="00BB072E" w:rsidRDefault="00BB072E" w:rsidP="00BB072E">
      <w:pPr>
        <w:jc w:val="left"/>
      </w:pPr>
    </w:p>
    <w:p w14:paraId="416B7470" w14:textId="77777777" w:rsidR="00BB072E" w:rsidRDefault="00BB072E" w:rsidP="00BB072E">
      <w:pPr>
        <w:jc w:val="left"/>
      </w:pPr>
    </w:p>
    <w:p w14:paraId="151F59A7" w14:textId="77777777" w:rsidR="00BB072E" w:rsidRDefault="00BB072E" w:rsidP="00BB072E">
      <w:pPr>
        <w:jc w:val="left"/>
      </w:pPr>
    </w:p>
    <w:p w14:paraId="565CD0EA" w14:textId="77777777" w:rsidR="00BB072E" w:rsidRDefault="00BB072E" w:rsidP="00BB072E">
      <w:pPr>
        <w:jc w:val="left"/>
      </w:pPr>
    </w:p>
    <w:p w14:paraId="49852524" w14:textId="77777777" w:rsidR="00BB072E" w:rsidRDefault="00BB072E" w:rsidP="00BB072E">
      <w:pPr>
        <w:jc w:val="left"/>
      </w:pPr>
    </w:p>
    <w:p w14:paraId="1202749A" w14:textId="77777777" w:rsidR="00BB072E" w:rsidRDefault="00BB072E" w:rsidP="00BB072E">
      <w:pPr>
        <w:jc w:val="left"/>
      </w:pPr>
    </w:p>
    <w:p w14:paraId="51C46817" w14:textId="77777777" w:rsidR="00BB072E" w:rsidRDefault="00BB072E" w:rsidP="00BB072E">
      <w:pPr>
        <w:jc w:val="left"/>
      </w:pPr>
    </w:p>
    <w:p w14:paraId="70E51E88" w14:textId="2B256D1C" w:rsidR="00BB072E" w:rsidRPr="00BB072E" w:rsidRDefault="00BB072E" w:rsidP="00BB072E">
      <w:pPr>
        <w:rPr>
          <w:lang w:val="en-US"/>
        </w:rPr>
      </w:pPr>
    </w:p>
    <w:p w14:paraId="343E9E66" w14:textId="77777777" w:rsidR="00BB072E" w:rsidRDefault="00BB072E" w:rsidP="0088317F"/>
    <w:p w14:paraId="68C14474" w14:textId="77777777" w:rsidR="00BB072E" w:rsidRPr="0088520B" w:rsidRDefault="00BB072E" w:rsidP="0088317F"/>
    <w:sectPr w:rsidR="00BB072E" w:rsidRPr="0088520B" w:rsidSect="0020057A">
      <w:footerReference w:type="default" r:id="rId13"/>
      <w:footnotePr>
        <w:numFmt w:val="chicago"/>
      </w:footnotePr>
      <w:pgSz w:w="11907" w:h="13608"/>
      <w:pgMar w:top="567" w:right="936" w:bottom="1338" w:left="936" w:header="0" w:footer="737" w:gutter="0"/>
      <w:lnNumType w:countBy="5" w:distance="227"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hnaz Hosseini" w:date="2026-07-30T15:41:00Z" w:initials="BH">
    <w:p w14:paraId="3F62D059" w14:textId="77777777" w:rsidR="007A3C1A" w:rsidRDefault="007A3C1A" w:rsidP="00D9374A">
      <w:pPr>
        <w:jc w:val="left"/>
      </w:pPr>
      <w:r>
        <w:rPr>
          <w:rStyle w:val="CommentReference"/>
        </w:rPr>
        <w:annotationRef/>
      </w:r>
      <w:r>
        <w:rPr>
          <w:sz w:val="20"/>
          <w:szCs w:val="20"/>
        </w:rPr>
        <w:t>This isn't in the references at the end.</w:t>
      </w:r>
    </w:p>
  </w:comment>
  <w:comment w:id="1" w:author="Jacob Siebach" w:date="2026-08-10T15:00:00Z" w:initials="JS">
    <w:p w14:paraId="70B1E02C" w14:textId="77777777" w:rsidR="006A18D7" w:rsidRDefault="006A18D7" w:rsidP="006A18D7">
      <w:pPr>
        <w:pStyle w:val="CommentText"/>
        <w:jc w:val="left"/>
      </w:pPr>
      <w:r>
        <w:rPr>
          <w:rStyle w:val="CommentReference"/>
        </w:rPr>
        <w:annotationRef/>
      </w:r>
      <w:r>
        <w:t>added</w:t>
      </w:r>
    </w:p>
  </w:comment>
  <w:comment w:id="2" w:author="Behnaz Hosseini" w:date="2026-07-30T15:43:00Z" w:initials="BH">
    <w:p w14:paraId="6BF74077" w14:textId="77777777" w:rsidR="0052014E" w:rsidRDefault="0052014E" w:rsidP="0052014E">
      <w:pPr>
        <w:jc w:val="left"/>
      </w:pPr>
      <w:r>
        <w:rPr>
          <w:rStyle w:val="CommentReference"/>
        </w:rPr>
        <w:annotationRef/>
      </w:r>
      <w:r>
        <w:rPr>
          <w:sz w:val="20"/>
          <w:szCs w:val="20"/>
        </w:rPr>
        <w:t>This isn't in the references at the end.</w:t>
      </w:r>
    </w:p>
  </w:comment>
  <w:comment w:id="3" w:author="Jacob Siebach" w:date="2026-08-10T15:00:00Z" w:initials="JS">
    <w:p w14:paraId="3197E367" w14:textId="77777777" w:rsidR="006A18D7" w:rsidRDefault="006A18D7" w:rsidP="006A18D7">
      <w:pPr>
        <w:pStyle w:val="CommentText"/>
        <w:jc w:val="lef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62D059" w15:done="1"/>
  <w15:commentEx w15:paraId="70B1E02C" w15:paraIdParent="3F62D059" w15:done="1"/>
  <w15:commentEx w15:paraId="6BF74077" w15:done="1"/>
  <w15:commentEx w15:paraId="3197E367" w15:paraIdParent="6BF7407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B2D220" w16cex:dateUtc="2026-07-30T21:41:00Z"/>
  <w16cex:commentExtensible w16cex:durableId="64DD9D3B" w16cex:dateUtc="2026-08-10T20:00:00Z"/>
  <w16cex:commentExtensible w16cex:durableId="145FB63A" w16cex:dateUtc="2026-07-30T21:43:00Z"/>
  <w16cex:commentExtensible w16cex:durableId="63373EB4" w16cex:dateUtc="2026-08-10T2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62D059" w16cid:durableId="7EB2D220"/>
  <w16cid:commentId w16cid:paraId="70B1E02C" w16cid:durableId="64DD9D3B"/>
  <w16cid:commentId w16cid:paraId="6BF74077" w16cid:durableId="145FB63A"/>
  <w16cid:commentId w16cid:paraId="3197E367" w16cid:durableId="63373E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BD6D2" w14:textId="77777777" w:rsidR="00422E8E" w:rsidRDefault="00422E8E" w:rsidP="0088317F">
      <w:r>
        <w:separator/>
      </w:r>
    </w:p>
  </w:endnote>
  <w:endnote w:type="continuationSeparator" w:id="0">
    <w:p w14:paraId="1681882B" w14:textId="77777777" w:rsidR="00422E8E" w:rsidRDefault="00422E8E" w:rsidP="00883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MU Sans Serif Demi Condensed">
    <w:altName w:val="Calibri"/>
    <w:panose1 w:val="02000706000000000000"/>
    <w:charset w:val="00"/>
    <w:family w:val="auto"/>
    <w:notTrueType/>
    <w:pitch w:val="variable"/>
    <w:sig w:usb0="E10002FF" w:usb1="5201E1EB" w:usb2="00000004" w:usb3="00000000" w:csb0="0000011F" w:csb1="00000000"/>
  </w:font>
  <w:font w:name="Arial">
    <w:panose1 w:val="020B0604020202020204"/>
    <w:charset w:val="00"/>
    <w:family w:val="swiss"/>
    <w:pitch w:val="variable"/>
    <w:sig w:usb0="E0002EFF" w:usb1="C000785B" w:usb2="00000009" w:usb3="00000000" w:csb0="000001FF" w:csb1="00000000"/>
  </w:font>
  <w:font w:name="CMU Sans Serif Oblique">
    <w:altName w:val="Calibri"/>
    <w:panose1 w:val="02000603000000000000"/>
    <w:charset w:val="00"/>
    <w:family w:val="auto"/>
    <w:notTrueType/>
    <w:pitch w:val="variable"/>
    <w:sig w:usb0="E10002FF" w:usb1="5201E9EB" w:usb2="00000004" w:usb3="00000000" w:csb0="0000011F" w:csb1="00000000"/>
  </w:font>
  <w:font w:name="CMU Sans Serif">
    <w:altName w:val="Calibri"/>
    <w:panose1 w:val="02000603000000000000"/>
    <w:charset w:val="00"/>
    <w:family w:val="auto"/>
    <w:notTrueType/>
    <w:pitch w:val="variable"/>
    <w:sig w:usb0="E10002FF" w:usb1="5201E9EB" w:usb2="00000004" w:usb3="00000000" w:csb0="0000011F" w:csb1="00000000"/>
  </w:font>
  <w:font w:name="Verdana">
    <w:panose1 w:val="020B0604030504040204"/>
    <w:charset w:val="00"/>
    <w:family w:val="swiss"/>
    <w:pitch w:val="variable"/>
    <w:sig w:usb0="A10006FF" w:usb1="4000205B" w:usb2="00000010" w:usb3="00000000" w:csb0="0000019F" w:csb1="00000000"/>
  </w:font>
  <w:font w:name="CMU Serif Roman">
    <w:altName w:val="Calibri"/>
    <w:panose1 w:val="02000603000000000000"/>
    <w:charset w:val="00"/>
    <w:family w:val="auto"/>
    <w:notTrueType/>
    <w:pitch w:val="variable"/>
    <w:sig w:usb0="E10002FF" w:usb1="5201E9EB" w:usb2="02000004"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788171"/>
      <w:docPartObj>
        <w:docPartGallery w:val="Page Numbers (Bottom of Page)"/>
        <w:docPartUnique/>
      </w:docPartObj>
    </w:sdtPr>
    <w:sdtEndPr>
      <w:rPr>
        <w:noProof/>
      </w:rPr>
    </w:sdtEndPr>
    <w:sdtContent>
      <w:p w14:paraId="79895BDA" w14:textId="77777777" w:rsidR="006D0C96" w:rsidRDefault="007809B6" w:rsidP="0088317F">
        <w:pPr>
          <w:pStyle w:val="Footer"/>
        </w:pPr>
        <w:r>
          <w:fldChar w:fldCharType="begin"/>
        </w:r>
        <w:r w:rsidR="006D0C96">
          <w:instrText xml:space="preserve"> PAGE   \* MERGEFORMAT </w:instrText>
        </w:r>
        <w:r>
          <w:fldChar w:fldCharType="separate"/>
        </w:r>
        <w:r w:rsidR="006768E8">
          <w:rPr>
            <w:noProof/>
          </w:rPr>
          <w:t>1</w:t>
        </w:r>
        <w:r>
          <w:rPr>
            <w:noProof/>
          </w:rPr>
          <w:fldChar w:fldCharType="end"/>
        </w:r>
      </w:p>
    </w:sdtContent>
  </w:sdt>
  <w:p w14:paraId="2595AB1D" w14:textId="77777777" w:rsidR="006D0C96" w:rsidRDefault="006D0C96" w:rsidP="008831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FEE63" w14:textId="77777777" w:rsidR="00422E8E" w:rsidRDefault="00422E8E" w:rsidP="0088317F">
      <w:r>
        <w:separator/>
      </w:r>
    </w:p>
  </w:footnote>
  <w:footnote w:type="continuationSeparator" w:id="0">
    <w:p w14:paraId="04B55875" w14:textId="77777777" w:rsidR="00422E8E" w:rsidRDefault="00422E8E" w:rsidP="008831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94403"/>
    <w:multiLevelType w:val="hybridMultilevel"/>
    <w:tmpl w:val="E6ECA0A2"/>
    <w:lvl w:ilvl="0" w:tplc="35A460C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621EB8"/>
    <w:multiLevelType w:val="hybridMultilevel"/>
    <w:tmpl w:val="B3626938"/>
    <w:lvl w:ilvl="0" w:tplc="F29A847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2342450">
    <w:abstractNumId w:val="1"/>
  </w:num>
  <w:num w:numId="2" w16cid:durableId="236017974">
    <w:abstractNumId w:val="1"/>
  </w:num>
  <w:num w:numId="3" w16cid:durableId="8035028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hnaz Hosseini">
    <w15:presenceInfo w15:providerId="None" w15:userId="Behnaz Hosseini"/>
  </w15:person>
  <w15:person w15:author="Jacob Siebach">
    <w15:presenceInfo w15:providerId="AD" w15:userId="S::jsiebach@atu.edu::7bd960f5-beaf-4409-95d4-67c756601c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attachedTemplate r:id="rId1"/>
  <w:defaultTabStop w:val="720"/>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13"/>
    <w:rsid w:val="0005690A"/>
    <w:rsid w:val="0007542C"/>
    <w:rsid w:val="00075F28"/>
    <w:rsid w:val="000A1B66"/>
    <w:rsid w:val="000C3A9F"/>
    <w:rsid w:val="00191BAF"/>
    <w:rsid w:val="001B53BB"/>
    <w:rsid w:val="001C41A5"/>
    <w:rsid w:val="001C5EB9"/>
    <w:rsid w:val="0020057A"/>
    <w:rsid w:val="00200EBF"/>
    <w:rsid w:val="00203F92"/>
    <w:rsid w:val="00206D1B"/>
    <w:rsid w:val="0024665C"/>
    <w:rsid w:val="002641CC"/>
    <w:rsid w:val="0026481B"/>
    <w:rsid w:val="00293EA4"/>
    <w:rsid w:val="002E53CF"/>
    <w:rsid w:val="00310253"/>
    <w:rsid w:val="003118C8"/>
    <w:rsid w:val="00361BFB"/>
    <w:rsid w:val="00374F3A"/>
    <w:rsid w:val="0038285B"/>
    <w:rsid w:val="003A4FB4"/>
    <w:rsid w:val="003D5288"/>
    <w:rsid w:val="0041141A"/>
    <w:rsid w:val="0041239B"/>
    <w:rsid w:val="00414BC4"/>
    <w:rsid w:val="00422E8E"/>
    <w:rsid w:val="00450DB9"/>
    <w:rsid w:val="00463568"/>
    <w:rsid w:val="004B2D56"/>
    <w:rsid w:val="004B4937"/>
    <w:rsid w:val="004D0F1A"/>
    <w:rsid w:val="0052014E"/>
    <w:rsid w:val="005429F8"/>
    <w:rsid w:val="0055217B"/>
    <w:rsid w:val="00564213"/>
    <w:rsid w:val="005A4F32"/>
    <w:rsid w:val="005B3CDF"/>
    <w:rsid w:val="005C36C5"/>
    <w:rsid w:val="005D5C8F"/>
    <w:rsid w:val="006326D7"/>
    <w:rsid w:val="006703E1"/>
    <w:rsid w:val="00670F05"/>
    <w:rsid w:val="006768E8"/>
    <w:rsid w:val="006808CC"/>
    <w:rsid w:val="00682F1A"/>
    <w:rsid w:val="006A18D7"/>
    <w:rsid w:val="006D0C96"/>
    <w:rsid w:val="006E3EF1"/>
    <w:rsid w:val="006F74FD"/>
    <w:rsid w:val="0070537F"/>
    <w:rsid w:val="007434A6"/>
    <w:rsid w:val="00751A44"/>
    <w:rsid w:val="007809B6"/>
    <w:rsid w:val="007868A9"/>
    <w:rsid w:val="00796A7F"/>
    <w:rsid w:val="007A2791"/>
    <w:rsid w:val="007A3C1A"/>
    <w:rsid w:val="007D08A2"/>
    <w:rsid w:val="007F01BF"/>
    <w:rsid w:val="00810620"/>
    <w:rsid w:val="0083200F"/>
    <w:rsid w:val="008441A5"/>
    <w:rsid w:val="00855006"/>
    <w:rsid w:val="00856EE4"/>
    <w:rsid w:val="0088317F"/>
    <w:rsid w:val="0088520B"/>
    <w:rsid w:val="008B719F"/>
    <w:rsid w:val="008E213F"/>
    <w:rsid w:val="008E3110"/>
    <w:rsid w:val="00914E30"/>
    <w:rsid w:val="009150E4"/>
    <w:rsid w:val="0091791F"/>
    <w:rsid w:val="00932F15"/>
    <w:rsid w:val="00943440"/>
    <w:rsid w:val="00984369"/>
    <w:rsid w:val="009B07B9"/>
    <w:rsid w:val="009D38E2"/>
    <w:rsid w:val="009F2C0A"/>
    <w:rsid w:val="00A54201"/>
    <w:rsid w:val="00AB670A"/>
    <w:rsid w:val="00AE4157"/>
    <w:rsid w:val="00B05285"/>
    <w:rsid w:val="00B4015F"/>
    <w:rsid w:val="00B5719D"/>
    <w:rsid w:val="00B75342"/>
    <w:rsid w:val="00B94A58"/>
    <w:rsid w:val="00BB072E"/>
    <w:rsid w:val="00BD0523"/>
    <w:rsid w:val="00C1589F"/>
    <w:rsid w:val="00C15DA6"/>
    <w:rsid w:val="00C26311"/>
    <w:rsid w:val="00C35812"/>
    <w:rsid w:val="00C6670B"/>
    <w:rsid w:val="00C82F79"/>
    <w:rsid w:val="00C93B05"/>
    <w:rsid w:val="00CC51D0"/>
    <w:rsid w:val="00D40CE0"/>
    <w:rsid w:val="00D9374A"/>
    <w:rsid w:val="00DA43C3"/>
    <w:rsid w:val="00DB4E53"/>
    <w:rsid w:val="00DC73AE"/>
    <w:rsid w:val="00E00339"/>
    <w:rsid w:val="00E142A8"/>
    <w:rsid w:val="00E207DF"/>
    <w:rsid w:val="00E50F59"/>
    <w:rsid w:val="00E95818"/>
    <w:rsid w:val="00EB041C"/>
    <w:rsid w:val="00EB79CC"/>
    <w:rsid w:val="00ED6B96"/>
    <w:rsid w:val="00EE58C0"/>
    <w:rsid w:val="00F35903"/>
    <w:rsid w:val="00F5258E"/>
    <w:rsid w:val="00F91E91"/>
    <w:rsid w:val="00FC1831"/>
    <w:rsid w:val="00FE4C67"/>
    <w:rsid w:val="00FE6001"/>
    <w:rsid w:val="00FF308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228C"/>
  <w15:docId w15:val="{2AC5B7E3-ED29-AF4C-B978-FD521475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57A"/>
    <w:pPr>
      <w:spacing w:line="360" w:lineRule="auto"/>
      <w:jc w:val="both"/>
    </w:pPr>
    <w:rPr>
      <w:rFonts w:ascii="Times New Roman" w:eastAsia="Times New Roman" w:hAnsi="Times New Roman"/>
      <w:sz w:val="22"/>
      <w:szCs w:val="24"/>
      <w:lang w:eastAsia="de-DE"/>
    </w:rPr>
  </w:style>
  <w:style w:type="paragraph" w:styleId="Heading1">
    <w:name w:val="heading 1"/>
    <w:basedOn w:val="Normal"/>
    <w:next w:val="Normal"/>
    <w:link w:val="Heading1Char"/>
    <w:qFormat/>
    <w:rsid w:val="0020057A"/>
    <w:pPr>
      <w:outlineLvl w:val="0"/>
    </w:pPr>
    <w:rPr>
      <w:rFonts w:ascii="CMU Sans Serif Demi Condensed" w:hAnsi="CMU Sans Serif Demi Condensed"/>
      <w:b/>
      <w:sz w:val="28"/>
    </w:rPr>
  </w:style>
  <w:style w:type="paragraph" w:styleId="Heading2">
    <w:name w:val="heading 2"/>
    <w:basedOn w:val="Normal"/>
    <w:next w:val="Normal"/>
    <w:link w:val="Heading2Char"/>
    <w:qFormat/>
    <w:rsid w:val="0020057A"/>
    <w:pPr>
      <w:keepNext/>
      <w:spacing w:before="240" w:after="240" w:line="240" w:lineRule="auto"/>
      <w:outlineLvl w:val="1"/>
    </w:pPr>
    <w:rPr>
      <w:rFonts w:ascii="CMU Sans Serif Demi Condensed" w:hAnsi="CMU Sans Serif Demi Condensed" w:cs="Arial"/>
      <w:b/>
      <w:bCs/>
      <w:iCs/>
      <w:sz w:val="24"/>
      <w:szCs w:val="28"/>
    </w:rPr>
  </w:style>
  <w:style w:type="paragraph" w:styleId="Heading3">
    <w:name w:val="heading 3"/>
    <w:basedOn w:val="Normal"/>
    <w:next w:val="Normal"/>
    <w:link w:val="Heading3Char"/>
    <w:qFormat/>
    <w:rsid w:val="0020057A"/>
    <w:pPr>
      <w:keepNext/>
      <w:spacing w:before="240" w:after="240" w:line="240" w:lineRule="auto"/>
      <w:outlineLvl w:val="2"/>
    </w:pPr>
    <w:rPr>
      <w:rFonts w:ascii="CMU Sans Serif Oblique" w:hAnsi="CMU Sans Serif Oblique" w:cs="Arial"/>
      <w:bCs/>
      <w:i/>
      <w:sz w:val="24"/>
      <w:szCs w:val="26"/>
    </w:rPr>
  </w:style>
  <w:style w:type="paragraph" w:styleId="Heading4">
    <w:name w:val="heading 4"/>
    <w:aliases w:val="Abstract"/>
    <w:basedOn w:val="Normal"/>
    <w:next w:val="Normal"/>
    <w:link w:val="Heading4Char"/>
    <w:rsid w:val="0020057A"/>
    <w:pPr>
      <w:outlineLvl w:val="3"/>
    </w:pPr>
    <w:rPr>
      <w:rFonts w:ascii="CMU Sans Serif" w:hAnsi="CMU Sans Seri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rsid w:val="00414BC4"/>
    <w:rPr>
      <w:b/>
      <w:bCs/>
    </w:rPr>
  </w:style>
  <w:style w:type="table" w:customStyle="1" w:styleId="Copernicus">
    <w:name w:val="Copernicus"/>
    <w:basedOn w:val="TableNormal"/>
    <w:rsid w:val="00ED6B96"/>
    <w:rPr>
      <w:rFonts w:ascii="Verdana" w:eastAsia="Times New Roman" w:hAnsi="Verdana"/>
      <w:sz w:val="19"/>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cPr>
      <w:shd w:val="clear" w:color="auto" w:fill="auto"/>
      <w:vAlign w:val="center"/>
    </w:tcPr>
    <w:tblStylePr w:type="firstRow">
      <w:pPr>
        <w:jc w:val="left"/>
      </w:pPr>
      <w:rPr>
        <w:rFonts w:ascii="Verdana" w:hAnsi="Verdana"/>
        <w:b/>
        <w:i w:val="0"/>
        <w:sz w:val="19"/>
      </w:rPr>
      <w:tblPr/>
      <w:tcPr>
        <w:shd w:val="clear" w:color="auto" w:fill="BFBFBF"/>
      </w:tcPr>
    </w:tblStylePr>
    <w:tblStylePr w:type="lastRow">
      <w:pPr>
        <w:jc w:val="left"/>
      </w:pPr>
      <w:rPr>
        <w:rFonts w:ascii="Verdana" w:hAnsi="Verdana"/>
        <w:sz w:val="19"/>
      </w:rPr>
    </w:tblStylePr>
    <w:tblStylePr w:type="firstCol">
      <w:rPr>
        <w:rFonts w:ascii="Verdana" w:hAnsi="Verdana"/>
        <w:sz w:val="19"/>
      </w:rPr>
    </w:tblStylePr>
    <w:tblStylePr w:type="lastCol">
      <w:rPr>
        <w:rFonts w:ascii="Verdana" w:hAnsi="Verdana"/>
        <w:sz w:val="19"/>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cBorders>
      </w:tcPr>
    </w:tblStylePr>
  </w:style>
  <w:style w:type="character" w:customStyle="1" w:styleId="Heading1Char">
    <w:name w:val="Heading 1 Char"/>
    <w:link w:val="Heading1"/>
    <w:rsid w:val="0020057A"/>
    <w:rPr>
      <w:rFonts w:ascii="CMU Sans Serif Demi Condensed" w:eastAsia="Times New Roman" w:hAnsi="CMU Sans Serif Demi Condensed"/>
      <w:b/>
      <w:sz w:val="28"/>
      <w:szCs w:val="24"/>
      <w:lang w:val="fr-FR" w:eastAsia="de-DE"/>
    </w:rPr>
  </w:style>
  <w:style w:type="character" w:customStyle="1" w:styleId="Heading3Char">
    <w:name w:val="Heading 3 Char"/>
    <w:link w:val="Heading3"/>
    <w:rsid w:val="0020057A"/>
    <w:rPr>
      <w:rFonts w:ascii="CMU Sans Serif Oblique" w:eastAsia="Times New Roman" w:hAnsi="CMU Sans Serif Oblique" w:cs="Arial"/>
      <w:bCs/>
      <w:i/>
      <w:sz w:val="24"/>
      <w:szCs w:val="26"/>
      <w:lang w:val="fr-FR" w:eastAsia="de-DE"/>
    </w:rPr>
  </w:style>
  <w:style w:type="character" w:customStyle="1" w:styleId="Heading4Char">
    <w:name w:val="Heading 4 Char"/>
    <w:aliases w:val="Abstract Char"/>
    <w:link w:val="Heading4"/>
    <w:rsid w:val="0020057A"/>
    <w:rPr>
      <w:rFonts w:ascii="CMU Sans Serif" w:eastAsia="Times New Roman" w:hAnsi="CMU Sans Serif"/>
      <w:sz w:val="22"/>
      <w:szCs w:val="24"/>
      <w:lang w:val="fr-FR" w:eastAsia="de-DE"/>
    </w:rPr>
  </w:style>
  <w:style w:type="character" w:customStyle="1" w:styleId="Heading2Char">
    <w:name w:val="Heading 2 Char"/>
    <w:link w:val="Heading2"/>
    <w:rsid w:val="0020057A"/>
    <w:rPr>
      <w:rFonts w:ascii="CMU Sans Serif Demi Condensed" w:eastAsia="Times New Roman" w:hAnsi="CMU Sans Serif Demi Condensed" w:cs="Arial"/>
      <w:b/>
      <w:bCs/>
      <w:iCs/>
      <w:sz w:val="24"/>
      <w:szCs w:val="28"/>
      <w:lang w:val="fr-FR" w:eastAsia="de-DE"/>
    </w:rPr>
  </w:style>
  <w:style w:type="character" w:styleId="Hyperlink">
    <w:name w:val="Hyperlink"/>
    <w:rsid w:val="002641CC"/>
    <w:rPr>
      <w:rFonts w:ascii="CMU Serif Roman" w:hAnsi="CMU Serif Roman"/>
      <w:color w:val="0000FF"/>
      <w:u w:val="single"/>
      <w:lang w:val="en-GB"/>
    </w:rPr>
  </w:style>
  <w:style w:type="character" w:styleId="LineNumber">
    <w:name w:val="line number"/>
    <w:basedOn w:val="DefaultParagraphFont"/>
    <w:uiPriority w:val="99"/>
    <w:semiHidden/>
    <w:unhideWhenUsed/>
    <w:rsid w:val="00D40CE0"/>
  </w:style>
  <w:style w:type="paragraph" w:customStyle="1" w:styleId="MStitle">
    <w:name w:val="MS title"/>
    <w:basedOn w:val="Normal"/>
    <w:link w:val="MStitleChar"/>
    <w:qFormat/>
    <w:rsid w:val="0020057A"/>
    <w:pPr>
      <w:spacing w:before="360" w:line="440" w:lineRule="exact"/>
      <w:contextualSpacing/>
      <w:jc w:val="center"/>
    </w:pPr>
    <w:rPr>
      <w:rFonts w:ascii="CMU Sans Serif Demi Condensed" w:hAnsi="CMU Sans Serif Demi Condensed"/>
      <w:b/>
      <w:sz w:val="34"/>
    </w:rPr>
  </w:style>
  <w:style w:type="character" w:customStyle="1" w:styleId="MStitleChar">
    <w:name w:val="MS title Char"/>
    <w:basedOn w:val="DefaultParagraphFont"/>
    <w:link w:val="MStitle"/>
    <w:rsid w:val="0020057A"/>
    <w:rPr>
      <w:rFonts w:ascii="CMU Sans Serif Demi Condensed" w:eastAsia="Times New Roman" w:hAnsi="CMU Sans Serif Demi Condensed"/>
      <w:b/>
      <w:sz w:val="34"/>
      <w:szCs w:val="24"/>
      <w:lang w:val="fr-FR" w:eastAsia="de-DE"/>
    </w:rPr>
  </w:style>
  <w:style w:type="paragraph" w:customStyle="1" w:styleId="Affiliation">
    <w:name w:val="Affiliation"/>
    <w:basedOn w:val="Authors"/>
    <w:link w:val="AffiliationChar"/>
    <w:qFormat/>
    <w:rsid w:val="007F01BF"/>
    <w:rPr>
      <w:sz w:val="20"/>
      <w:szCs w:val="20"/>
    </w:rPr>
  </w:style>
  <w:style w:type="character" w:styleId="PlaceholderText">
    <w:name w:val="Placeholder Text"/>
    <w:basedOn w:val="DefaultParagraphFont"/>
    <w:uiPriority w:val="99"/>
    <w:semiHidden/>
    <w:rsid w:val="003D5288"/>
    <w:rPr>
      <w:color w:val="808080"/>
    </w:rPr>
  </w:style>
  <w:style w:type="character" w:customStyle="1" w:styleId="AffiliationChar">
    <w:name w:val="Affiliation Char"/>
    <w:basedOn w:val="DefaultParagraphFont"/>
    <w:link w:val="Affiliation"/>
    <w:rsid w:val="007F01BF"/>
    <w:rPr>
      <w:rFonts w:ascii="Times New Roman" w:hAnsi="Times New Roman"/>
      <w:lang w:eastAsia="de-DE"/>
    </w:rPr>
  </w:style>
  <w:style w:type="paragraph" w:styleId="BalloonText">
    <w:name w:val="Balloon Text"/>
    <w:basedOn w:val="Normal"/>
    <w:link w:val="BalloonTextChar"/>
    <w:uiPriority w:val="99"/>
    <w:semiHidden/>
    <w:unhideWhenUsed/>
    <w:rsid w:val="003D528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288"/>
    <w:rPr>
      <w:rFonts w:ascii="Tahoma" w:eastAsia="Times New Roman" w:hAnsi="Tahoma" w:cs="Tahoma"/>
      <w:sz w:val="16"/>
      <w:szCs w:val="16"/>
      <w:lang w:eastAsia="de-DE"/>
    </w:rPr>
  </w:style>
  <w:style w:type="paragraph" w:customStyle="1" w:styleId="Equation">
    <w:name w:val="Equation"/>
    <w:basedOn w:val="Normal"/>
    <w:link w:val="EquationChar"/>
    <w:rsid w:val="0088317F"/>
    <w:rPr>
      <w:rFonts w:ascii="Cambria Math" w:hAnsi="Cambria Math"/>
      <w:i/>
    </w:rPr>
  </w:style>
  <w:style w:type="paragraph" w:styleId="Caption">
    <w:name w:val="caption"/>
    <w:basedOn w:val="Normal"/>
    <w:next w:val="Normal"/>
    <w:uiPriority w:val="35"/>
    <w:unhideWhenUsed/>
    <w:qFormat/>
    <w:rsid w:val="0020057A"/>
    <w:pPr>
      <w:spacing w:after="200" w:line="240" w:lineRule="auto"/>
    </w:pPr>
    <w:rPr>
      <w:rFonts w:ascii="CMU Sans Serif Demi Condensed" w:hAnsi="CMU Sans Serif Demi Condensed"/>
      <w:b/>
      <w:bCs/>
      <w:sz w:val="21"/>
      <w:szCs w:val="18"/>
    </w:rPr>
  </w:style>
  <w:style w:type="character" w:customStyle="1" w:styleId="EquationChar">
    <w:name w:val="Equation Char"/>
    <w:basedOn w:val="DefaultParagraphFont"/>
    <w:link w:val="Equation"/>
    <w:rsid w:val="0088317F"/>
    <w:rPr>
      <w:rFonts w:ascii="Cambria Math" w:eastAsia="Times New Roman" w:hAnsi="Cambria Math"/>
      <w:i/>
      <w:szCs w:val="24"/>
      <w:lang w:val="fr-FR" w:eastAsia="de-DE"/>
    </w:rPr>
  </w:style>
  <w:style w:type="paragraph" w:styleId="Footer">
    <w:name w:val="footer"/>
    <w:basedOn w:val="Normal"/>
    <w:link w:val="FooterChar"/>
    <w:uiPriority w:val="99"/>
    <w:unhideWhenUsed/>
    <w:rsid w:val="006D0C96"/>
    <w:pPr>
      <w:tabs>
        <w:tab w:val="center" w:pos="4513"/>
        <w:tab w:val="right" w:pos="9026"/>
      </w:tabs>
      <w:spacing w:line="240" w:lineRule="auto"/>
    </w:pPr>
  </w:style>
  <w:style w:type="character" w:customStyle="1" w:styleId="FooterChar">
    <w:name w:val="Footer Char"/>
    <w:basedOn w:val="DefaultParagraphFont"/>
    <w:link w:val="Footer"/>
    <w:uiPriority w:val="99"/>
    <w:rsid w:val="006D0C96"/>
    <w:rPr>
      <w:rFonts w:ascii="Times New Roman" w:eastAsia="Times New Roman" w:hAnsi="Times New Roman"/>
      <w:szCs w:val="24"/>
      <w:lang w:eastAsia="de-DE"/>
    </w:rPr>
  </w:style>
  <w:style w:type="paragraph" w:customStyle="1" w:styleId="Correspondence">
    <w:name w:val="Correspondence"/>
    <w:basedOn w:val="Normal"/>
    <w:link w:val="CorrespondenceChar"/>
    <w:qFormat/>
    <w:rsid w:val="008E213F"/>
    <w:pPr>
      <w:spacing w:before="120" w:after="360" w:line="240" w:lineRule="auto"/>
    </w:pPr>
  </w:style>
  <w:style w:type="character" w:customStyle="1" w:styleId="CorrespondenceChar">
    <w:name w:val="Correspondence Char"/>
    <w:basedOn w:val="DefaultParagraphFont"/>
    <w:link w:val="Correspondence"/>
    <w:rsid w:val="008E213F"/>
    <w:rPr>
      <w:rFonts w:ascii="Times New Roman" w:eastAsia="Times New Roman" w:hAnsi="Times New Roman"/>
      <w:szCs w:val="24"/>
      <w:lang w:eastAsia="de-DE"/>
    </w:rPr>
  </w:style>
  <w:style w:type="paragraph" w:customStyle="1" w:styleId="Authors">
    <w:name w:val="Authors"/>
    <w:basedOn w:val="Normal"/>
    <w:link w:val="AuthorsChar"/>
    <w:qFormat/>
    <w:rsid w:val="007F01BF"/>
    <w:pPr>
      <w:spacing w:before="180" w:line="240" w:lineRule="auto"/>
      <w:contextualSpacing/>
      <w:jc w:val="left"/>
    </w:pPr>
    <w:rPr>
      <w:rFonts w:eastAsia="SimSun"/>
      <w:sz w:val="24"/>
    </w:rPr>
  </w:style>
  <w:style w:type="character" w:customStyle="1" w:styleId="AuthorsChar">
    <w:name w:val="Authors Char"/>
    <w:basedOn w:val="DefaultParagraphFont"/>
    <w:link w:val="Authors"/>
    <w:rsid w:val="007F01BF"/>
    <w:rPr>
      <w:rFonts w:ascii="Times New Roman" w:hAnsi="Times New Roman"/>
      <w:sz w:val="24"/>
      <w:szCs w:val="24"/>
      <w:lang w:eastAsia="de-DE"/>
    </w:rPr>
  </w:style>
  <w:style w:type="paragraph" w:styleId="FootnoteText">
    <w:name w:val="footnote text"/>
    <w:basedOn w:val="Normal"/>
    <w:link w:val="FootnoteTextChar"/>
    <w:uiPriority w:val="99"/>
    <w:semiHidden/>
    <w:unhideWhenUsed/>
    <w:rsid w:val="001C41A5"/>
    <w:pPr>
      <w:spacing w:line="240" w:lineRule="auto"/>
    </w:pPr>
    <w:rPr>
      <w:szCs w:val="20"/>
    </w:rPr>
  </w:style>
  <w:style w:type="character" w:customStyle="1" w:styleId="FootnoteTextChar">
    <w:name w:val="Footnote Text Char"/>
    <w:basedOn w:val="DefaultParagraphFont"/>
    <w:link w:val="FootnoteText"/>
    <w:uiPriority w:val="99"/>
    <w:semiHidden/>
    <w:rsid w:val="001C41A5"/>
    <w:rPr>
      <w:rFonts w:ascii="Times New Roman" w:eastAsia="Times New Roman" w:hAnsi="Times New Roman"/>
      <w:lang w:eastAsia="de-DE"/>
    </w:rPr>
  </w:style>
  <w:style w:type="character" w:styleId="FootnoteReference">
    <w:name w:val="footnote reference"/>
    <w:basedOn w:val="DefaultParagraphFont"/>
    <w:uiPriority w:val="99"/>
    <w:semiHidden/>
    <w:unhideWhenUsed/>
    <w:rsid w:val="001C41A5"/>
    <w:rPr>
      <w:vertAlign w:val="superscript"/>
    </w:rPr>
  </w:style>
  <w:style w:type="character" w:styleId="UnresolvedMention">
    <w:name w:val="Unresolved Mention"/>
    <w:basedOn w:val="DefaultParagraphFont"/>
    <w:uiPriority w:val="99"/>
    <w:semiHidden/>
    <w:unhideWhenUsed/>
    <w:rsid w:val="0024665C"/>
    <w:rPr>
      <w:color w:val="605E5C"/>
      <w:shd w:val="clear" w:color="auto" w:fill="E1DFDD"/>
    </w:rPr>
  </w:style>
  <w:style w:type="character" w:styleId="FollowedHyperlink">
    <w:name w:val="FollowedHyperlink"/>
    <w:basedOn w:val="DefaultParagraphFont"/>
    <w:uiPriority w:val="99"/>
    <w:semiHidden/>
    <w:unhideWhenUsed/>
    <w:rsid w:val="0020057A"/>
    <w:rPr>
      <w:color w:val="800080" w:themeColor="followedHyperlink"/>
      <w:u w:val="single"/>
    </w:rPr>
  </w:style>
  <w:style w:type="paragraph" w:styleId="Revision">
    <w:name w:val="Revision"/>
    <w:hidden/>
    <w:uiPriority w:val="99"/>
    <w:semiHidden/>
    <w:rsid w:val="005D5C8F"/>
    <w:rPr>
      <w:rFonts w:ascii="Times New Roman" w:eastAsia="Times New Roman" w:hAnsi="Times New Roman"/>
      <w:sz w:val="22"/>
      <w:szCs w:val="24"/>
      <w:lang w:eastAsia="de-DE"/>
    </w:rPr>
  </w:style>
  <w:style w:type="character" w:styleId="CommentReference">
    <w:name w:val="annotation reference"/>
    <w:basedOn w:val="DefaultParagraphFont"/>
    <w:uiPriority w:val="99"/>
    <w:semiHidden/>
    <w:unhideWhenUsed/>
    <w:rsid w:val="00FC1831"/>
    <w:rPr>
      <w:sz w:val="16"/>
      <w:szCs w:val="16"/>
    </w:rPr>
  </w:style>
  <w:style w:type="paragraph" w:styleId="CommentText">
    <w:name w:val="annotation text"/>
    <w:basedOn w:val="Normal"/>
    <w:link w:val="CommentTextChar"/>
    <w:uiPriority w:val="99"/>
    <w:unhideWhenUsed/>
    <w:rsid w:val="00FC1831"/>
    <w:pPr>
      <w:spacing w:line="240" w:lineRule="auto"/>
    </w:pPr>
    <w:rPr>
      <w:sz w:val="20"/>
      <w:szCs w:val="20"/>
    </w:rPr>
  </w:style>
  <w:style w:type="character" w:customStyle="1" w:styleId="CommentTextChar">
    <w:name w:val="Comment Text Char"/>
    <w:basedOn w:val="DefaultParagraphFont"/>
    <w:link w:val="CommentText"/>
    <w:uiPriority w:val="99"/>
    <w:rsid w:val="00FC1831"/>
    <w:rPr>
      <w:rFonts w:ascii="Times New Roman" w:eastAsia="Times New Roman" w:hAnsi="Times New Roman"/>
      <w:lang w:eastAsia="de-DE"/>
    </w:rPr>
  </w:style>
  <w:style w:type="paragraph" w:styleId="CommentSubject">
    <w:name w:val="annotation subject"/>
    <w:basedOn w:val="CommentText"/>
    <w:next w:val="CommentText"/>
    <w:link w:val="CommentSubjectChar"/>
    <w:uiPriority w:val="99"/>
    <w:semiHidden/>
    <w:unhideWhenUsed/>
    <w:rsid w:val="00FC1831"/>
    <w:rPr>
      <w:b/>
      <w:bCs/>
    </w:rPr>
  </w:style>
  <w:style w:type="character" w:customStyle="1" w:styleId="CommentSubjectChar">
    <w:name w:val="Comment Subject Char"/>
    <w:basedOn w:val="CommentTextChar"/>
    <w:link w:val="CommentSubject"/>
    <w:uiPriority w:val="99"/>
    <w:semiHidden/>
    <w:rsid w:val="00FC1831"/>
    <w:rPr>
      <w:rFonts w:ascii="Times New Roman" w:eastAsia="Times New Roman" w:hAnsi="Times New Roman"/>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77149">
      <w:bodyDiv w:val="1"/>
      <w:marLeft w:val="0"/>
      <w:marRight w:val="0"/>
      <w:marTop w:val="0"/>
      <w:marBottom w:val="0"/>
      <w:divBdr>
        <w:top w:val="none" w:sz="0" w:space="0" w:color="auto"/>
        <w:left w:val="none" w:sz="0" w:space="0" w:color="auto"/>
        <w:bottom w:val="none" w:sz="0" w:space="0" w:color="auto"/>
        <w:right w:val="none" w:sz="0" w:space="0" w:color="auto"/>
      </w:divBdr>
    </w:div>
    <w:div w:id="367798868">
      <w:bodyDiv w:val="1"/>
      <w:marLeft w:val="0"/>
      <w:marRight w:val="0"/>
      <w:marTop w:val="0"/>
      <w:marBottom w:val="0"/>
      <w:divBdr>
        <w:top w:val="none" w:sz="0" w:space="0" w:color="auto"/>
        <w:left w:val="none" w:sz="0" w:space="0" w:color="auto"/>
        <w:bottom w:val="none" w:sz="0" w:space="0" w:color="auto"/>
        <w:right w:val="none" w:sz="0" w:space="0" w:color="auto"/>
      </w:divBdr>
    </w:div>
    <w:div w:id="189426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pernicusTemplates\Free-Forms\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pernicus_Word_templat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CBC3B-5857-5345-925B-2BF1D32E3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C:\CopernicusTemplates\Free-Forms\Blank.dotm</Template>
  <TotalTime>1</TotalTime>
  <Pages>5</Pages>
  <Words>1860</Words>
  <Characters>10605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Blank</vt:lpstr>
    </vt:vector>
  </TitlesOfParts>
  <Company>Volcanica</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dc:title>
  <dc:creator>Jamie Farquharson</dc:creator>
  <cp:lastModifiedBy>Anonymous</cp:lastModifiedBy>
  <cp:revision>2</cp:revision>
  <cp:lastPrinted>2016-02-01T07:21:00Z</cp:lastPrinted>
  <dcterms:created xsi:type="dcterms:W3CDTF">2026-10-11T04:04:00Z</dcterms:created>
  <dcterms:modified xsi:type="dcterms:W3CDTF">2026-10-11T04:04:00Z</dcterms:modified>
</cp:coreProperties>
</file>